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Times New Roman" w:hAnsi="Times New Roman" w:eastAsia="Times New Roman"/>
          <w:b/>
          <w:color w:val="000000"/>
          <w:sz w:val="41"/>
        </w:rPr>
        <w:t>Ergebnisse zu den Ehefrauen</w:t>
        <w:br/>
      </w:r>
      <w:r>
        <w:rPr>
          <w:rFonts w:ascii="Times New Roman" w:hAnsi="Times New Roman" w:eastAsia="Times New Roman"/>
          <w:b/>
          <w:color w:val="000000"/>
          <w:sz w:val="41"/>
        </w:rPr>
        <w:t>von Nelson Burdette Bailey</w:t>
      </w:r>
    </w:p>
    <w:p>
      <w:pPr>
        <w:spacing w:after="80"/>
      </w:pPr>
      <w:r>
        <w:rPr>
          <w:rFonts w:ascii="Times New Roman" w:hAnsi="Times New Roman" w:eastAsia="Times New Roman"/>
          <w:i/>
          <w:color w:val="52606D"/>
          <w:sz w:val="28"/>
        </w:rPr>
        <w:t>Addie M Mentzer Bailey und Maude Burrell Watson Bailey</w:t>
      </w:r>
    </w:p>
    <w:p>
      <w:pPr>
        <w:spacing w:after="440"/>
      </w:pPr>
      <w:r>
        <w:t>Quellenkritische Forschungsnotiz  Stand 24 September 2026</w:t>
      </w:r>
    </w:p>
    <w:p>
      <w:pPr>
        <w:spacing w:line="324" w:lineRule="auto" w:after="240"/>
      </w:pPr>
      <w:r>
        <w:t>Diese Notiz bündelt den Forschungsstand zu Nelson Burdette Baileys zwei Ehefrauen. Die stärksten Quellen sichern die Ehe mit Addie M. Mentzer vom 31. August 1904 und die Ehe mit Maude Burrell Watson vom 6. November 1921 in San Francisco. Neu geprüfte Zeitungsmeldungen belegen Maudes erste Heirat mit Ralph Watson am 16. Juni 1902 in Cedar Rapids sowie dessen Tod 1915. Sie erschließen außerdem das gemeinsame Leben in Fort Dodge und San Francisco und Maudes Aufenthalt in Honolulu 1911. Addie ist in Adressbüchern bis 1971 nachweisbar; für Maude bleibt Nelsons Todesanzeige vom Juli 1948 der letzte derzeit sichere Lebensbeleg. Die ergänzende Adressprüfung von 1919 bis 1923 präzisiert eine mögliche Begegnung in San Francisco. Die gleiche Anschrift zweier Einträge von 1920 ist belegt; ihre Zuordnung zum späteren Ehepaar bleibt wegen eines abweichenden Firmenvermerks bei Nelson offen.</w:t>
      </w:r>
    </w:p>
    <w:p>
      <w:pPr>
        <w:pStyle w:val="Heading1"/>
      </w:pPr>
      <w:r>
        <w:rPr>
          <w:rFonts w:ascii="Times New Roman" w:hAnsi="Times New Roman" w:eastAsia="Times New Roman"/>
          <w:b/>
          <w:color w:val="000000"/>
          <w:sz w:val="30"/>
        </w:rPr>
        <w:t>Inhaltsverzeichnis</w:t>
      </w:r>
    </w:p>
    <w:p>
      <w:pPr>
        <w:tabs>
          <w:tab w:pos="9288" w:val="right" w:leader="dot"/>
        </w:tabs>
        <w:spacing w:after="80" w:line="264" w:lineRule="auto"/>
        <w:ind w:left="173" w:right="72"/>
      </w:pPr>
      <w:r>
        <w:t>Kurzergebnis</w:t>
        <w:tab/>
        <w:t>2</w:t>
      </w:r>
    </w:p>
    <w:p>
      <w:pPr>
        <w:tabs>
          <w:tab w:pos="9288" w:val="right" w:leader="dot"/>
        </w:tabs>
        <w:spacing w:after="80" w:line="264" w:lineRule="auto"/>
        <w:ind w:left="173" w:right="72"/>
      </w:pPr>
      <w:r>
        <w:t>Addie M Mentzer Bailey</w:t>
        <w:tab/>
        <w:t>4</w:t>
      </w:r>
    </w:p>
    <w:p>
      <w:pPr>
        <w:tabs>
          <w:tab w:pos="9288" w:val="right" w:leader="dot"/>
        </w:tabs>
        <w:spacing w:after="80" w:line="264" w:lineRule="auto"/>
        <w:ind w:left="173" w:right="72"/>
      </w:pPr>
      <w:r>
        <w:t>Maude Burrell Watson Bailey</w:t>
        <w:tab/>
        <w:t>5</w:t>
      </w:r>
    </w:p>
    <w:p>
      <w:pPr>
        <w:tabs>
          <w:tab w:pos="9288" w:val="right" w:leader="dot"/>
        </w:tabs>
        <w:spacing w:after="80" w:line="264" w:lineRule="auto"/>
        <w:ind w:left="173" w:right="72"/>
      </w:pPr>
      <w:r>
        <w:t>Chronologie</w:t>
        <w:tab/>
        <w:t>10</w:t>
      </w:r>
    </w:p>
    <w:p>
      <w:pPr>
        <w:tabs>
          <w:tab w:pos="9288" w:val="right" w:leader="dot"/>
        </w:tabs>
        <w:spacing w:after="80" w:line="264" w:lineRule="auto"/>
        <w:ind w:left="173" w:right="72"/>
      </w:pPr>
      <w:r>
        <w:t>Fotografien</w:t>
        <w:tab/>
        <w:t>13</w:t>
      </w:r>
    </w:p>
    <w:p>
      <w:pPr>
        <w:tabs>
          <w:tab w:pos="9288" w:val="right" w:leader="dot"/>
        </w:tabs>
        <w:spacing w:after="80" w:line="264" w:lineRule="auto"/>
        <w:ind w:left="173" w:right="72"/>
      </w:pPr>
      <w:r>
        <w:t>Vorschlag für bailey ukulele de</w:t>
        <w:tab/>
        <w:t>14</w:t>
      </w:r>
    </w:p>
    <w:p>
      <w:pPr>
        <w:tabs>
          <w:tab w:pos="9288" w:val="right" w:leader="dot"/>
        </w:tabs>
        <w:spacing w:after="80" w:line="264" w:lineRule="auto"/>
        <w:ind w:left="173" w:right="72"/>
      </w:pPr>
      <w:r>
        <w:t>Offene Forschungsfragen</w:t>
        <w:tab/>
        <w:t>14</w:t>
      </w:r>
    </w:p>
    <w:p>
      <w:pPr>
        <w:tabs>
          <w:tab w:pos="9288" w:val="right" w:leader="dot"/>
        </w:tabs>
        <w:spacing w:after="80" w:line="264" w:lineRule="auto"/>
        <w:ind w:left="173" w:right="72"/>
      </w:pPr>
      <w:r>
        <w:t>Quellen und Belegstellen</w:t>
        <w:tab/>
        <w:t>15</w:t>
      </w:r>
    </w:p>
    <w:p>
      <w:r>
        <w:br w:type="page"/>
      </w:r>
    </w:p>
    <w:p>
      <w:pPr>
        <w:pStyle w:val="Heading1"/>
      </w:pPr>
      <w:r>
        <w:rPr>
          <w:rFonts w:ascii="Times New Roman" w:hAnsi="Times New Roman" w:eastAsia="Times New Roman"/>
          <w:b/>
          <w:color w:val="000000"/>
          <w:sz w:val="30"/>
        </w:rPr>
        <w:t>Kurzergebnis</w:t>
      </w:r>
    </w:p>
    <w:p>
      <w:pPr>
        <w:spacing w:line="348" w:lineRule="auto" w:after="140"/>
        <w:jc w:val="left"/>
      </w:pPr>
      <w:r>
        <w:rPr>
          <w:rFonts w:ascii="Times New Roman" w:hAnsi="Times New Roman" w:eastAsia="Times New Roman"/>
          <w:b/>
          <w:i w:val="0"/>
          <w:color w:val="1F2933"/>
          <w:sz w:val="22"/>
        </w:rPr>
        <w:t xml:space="preserve">Erste Ehefrau  </w:t>
      </w:r>
      <w:r>
        <w:rPr>
          <w:rFonts w:ascii="Times New Roman" w:hAnsi="Times New Roman" w:eastAsia="Times New Roman"/>
          <w:b w:val="0"/>
          <w:i w:val="0"/>
          <w:color w:val="1F2933"/>
          <w:sz w:val="22"/>
        </w:rPr>
        <w:t xml:space="preserve">Der Name ist in den Primär- und zeitnahen Quellen als </w:t>
      </w:r>
      <w:r>
        <w:rPr>
          <w:rFonts w:ascii="Times New Roman" w:hAnsi="Times New Roman" w:eastAsia="Times New Roman"/>
          <w:b/>
          <w:i w:val="0"/>
          <w:color w:val="1F2933"/>
          <w:sz w:val="22"/>
        </w:rPr>
        <w:t>Addie M. Mentzer</w:t>
      </w:r>
      <w:r>
        <w:rPr>
          <w:rFonts w:ascii="Times New Roman" w:hAnsi="Times New Roman" w:eastAsia="Times New Roman"/>
          <w:b w:val="0"/>
          <w:i w:val="0"/>
          <w:color w:val="1F2933"/>
          <w:sz w:val="22"/>
        </w:rPr>
        <w:t xml:space="preserve"> belegt. Die Form „Adda G. Mentzer“ in einem zusammengetragenen FamilySearch-Profil ist daher sehr wahrscheinlich ein Übertragungs- oder Profilfehler.</w:t>
      </w:r>
    </w:p>
    <w:p>
      <w:pPr>
        <w:spacing w:line="348" w:lineRule="auto" w:after="140"/>
        <w:jc w:val="left"/>
      </w:pPr>
      <w:r>
        <w:t>Zweite Ehefrau  Maude Burrell Watson, in der Heiratsmeldung von 1902 vollständig Clara Maude Burrell genannt, war zuerst mit Ralph Watson verheiratet. Zwei zeitgenössische Hochzeitsmeldungen und sein Nachruf sichern diese Verbindung. Bei der Heirat mit Nelson 1921 wird sie als verwitwet geführt. [47–49]</w:t>
      </w:r>
    </w:p>
    <w:p>
      <w:pPr>
        <w:spacing w:line="348" w:lineRule="auto" w:after="140"/>
        <w:jc w:val="left"/>
      </w:pPr>
      <w:r>
        <w:t>Entscheidender Datumsbefund  Der 16. Juni 1902 in Cedar Rapids gehört zur Hochzeit von Maude und Ralph Watson. Nelson und Maude heirateten dagegen am 6. November 1921 in San Francisco. Die frühere Angabe „16. Juni 1921, Cedar Rapids“ ist deshalb durch die beiden belegten Eheschließungen zu ersetzen; wie der Datumsfehler entstand, ist nicht nachgewiesen. [9–10, 47–48]</w:t>
      </w:r>
    </w:p>
    <w:p>
      <w:pPr/>
      <w:r>
        <w:rPr>
          <w:rFonts w:ascii="Aptos" w:hAnsi="Aptos"/>
        </w:rPr>
        <w:t>Neue Kernerkenntnis  Addie M. Bailey ist nicht nur bis 1948 oder 1949, sondern in den Polk-Adressbüchern wiederholt bis 1971 unter 685 Geary, Apartment 305, nachweisbar. Ihr Fehlen im Zensus von 1950 und im Adressbuch von 1951 ist daher nur ein isolierter Negativbefund. Erst die Ausgabe 1972 zeigt sie an dieser Adresse nicht mehr.</w:t>
      </w:r>
    </w:p>
    <w:p>
      <w:r>
        <w:t>Stand zu Maude  Beim Tod Nelsons im Juli 1948 wurde Maude noch als seine Ehefrau in Santa Rosa genannt. Für April 1950 ließ sie sich im geprüften Zensusbezirk der früheren Anschrift nicht nachweisen. Dieser Negativbefund kann einen Tod oder Umzug anzeigen, beweist aber beides nicht.</w:t>
      </w:r>
    </w:p>
    <w:p>
      <w:r>
        <w:t>Adressprüfung  Die Einträge Nelson B. Bailey und Maude B. Watson nennen 1920 beide 1143 Larkin. Beim Bailey-Eintrag steht jedoch Smith &amp; Bailey. Die frühere vorbehaltlose Zuordnung zu Nelson Burdette Bailey wird deshalb zurückgenommen. Belege von 1922 und 1923 nennen ihn wieder im musikalischen Berufsfeld unter 560 Geary. Sie lösen den Identitätsabgleich für 1920 nicht. [7, 54–55]</w:t>
      </w:r>
    </w:p>
    <w:p>
      <w:pPr>
        <w:pStyle w:val="Heading2"/>
      </w:pPr>
      <w:r>
        <w:rPr>
          <w:rFonts w:ascii="Times New Roman" w:hAnsi="Times New Roman" w:eastAsia="Times New Roman"/>
          <w:b/>
          <w:color w:val="000000"/>
          <w:sz w:val="25"/>
        </w:rPr>
        <w:t>Bewertung der wichtigsten Aussagen</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264"/>
        <w:gridCol w:w="3264"/>
        <w:gridCol w:w="3264"/>
      </w:tblGrid>
      <w:tr>
        <w:trPr>
          <w:tblHeader w:val="true"/>
          <w:cantSplit/>
        </w:trPr>
        <w:tc>
          <w:tcPr>
            <w:tcW w:type="dxa" w:w="3384"/>
            <w:tcMar>
              <w:top w:w="90" w:type="dxa"/>
              <w:start w:w="110" w:type="dxa"/>
              <w:bottom w:w="90" w:type="dxa"/>
              <w:end w:w="110" w:type="dxa"/>
            </w:tcMar>
            <w:vAlign w:val="center"/>
            <w:shd w:fill="274C77"/>
          </w:tcPr>
          <w:p>
            <w:pPr>
              <w:spacing w:line="252" w:lineRule="auto" w:after="100" w:before="80"/>
              <w:jc w:val="left"/>
            </w:pPr>
            <w:r>
              <w:rPr>
                <w:rFonts w:ascii="Aptos" w:hAnsi="Aptos" w:eastAsia="Times New Roman"/>
                <w:b/>
                <w:color w:val="FFFFFF"/>
                <w:sz w:val="19"/>
              </w:rPr>
              <w:t>Aussage</w:t>
            </w:r>
          </w:p>
        </w:tc>
        <w:tc>
          <w:tcPr>
            <w:tcW w:type="dxa" w:w="1800"/>
            <w:tcMar>
              <w:top w:w="90" w:type="dxa"/>
              <w:start w:w="110" w:type="dxa"/>
              <w:bottom w:w="90" w:type="dxa"/>
              <w:end w:w="110" w:type="dxa"/>
            </w:tcMar>
            <w:vAlign w:val="center"/>
            <w:shd w:fill="274C77"/>
          </w:tcPr>
          <w:p>
            <w:pPr>
              <w:spacing w:line="252" w:lineRule="auto" w:after="100" w:before="80"/>
              <w:jc w:val="left"/>
            </w:pPr>
            <w:r>
              <w:rPr>
                <w:rFonts w:ascii="Aptos" w:hAnsi="Aptos" w:eastAsia="Times New Roman"/>
                <w:b/>
                <w:color w:val="FFFFFF"/>
                <w:sz w:val="19"/>
              </w:rPr>
              <w:t>Bewertung</w:t>
            </w:r>
          </w:p>
        </w:tc>
        <w:tc>
          <w:tcPr>
            <w:tcW w:type="dxa" w:w="4608"/>
            <w:tcMar>
              <w:top w:w="90" w:type="dxa"/>
              <w:start w:w="110" w:type="dxa"/>
              <w:bottom w:w="90" w:type="dxa"/>
              <w:end w:w="110" w:type="dxa"/>
            </w:tcMar>
            <w:vAlign w:val="center"/>
            <w:shd w:fill="274C77"/>
          </w:tcPr>
          <w:p>
            <w:pPr>
              <w:spacing w:line="252" w:lineRule="auto" w:after="100" w:before="80"/>
              <w:jc w:val="left"/>
            </w:pPr>
            <w:r>
              <w:rPr>
                <w:rFonts w:ascii="Aptos" w:hAnsi="Aptos" w:eastAsia="Times New Roman"/>
                <w:b/>
                <w:color w:val="FFFFFF"/>
                <w:sz w:val="19"/>
              </w:rPr>
              <w:t>Beleglage</w:t>
            </w:r>
          </w:p>
        </w:tc>
      </w:tr>
      <w:tr>
        <w:trPr>
          <w:cantSplit/>
        </w:trPr>
        <w:tc>
          <w:tcPr>
            <w:tcW w:type="dxa" w:w="3384"/>
            <w:tcMar>
              <w:top w:w="90" w:type="dxa"/>
              <w:start w:w="110" w:type="dxa"/>
              <w:bottom w:w="90" w:type="dxa"/>
              <w:end w:w="110" w:type="dxa"/>
            </w:tcMar>
            <w:vAlign w:val="center"/>
            <w:shd w:fill="FFFFFF"/>
          </w:tcPr>
          <w:p>
            <w:pPr>
              <w:spacing w:line="252" w:lineRule="auto" w:after="100" w:before="80"/>
              <w:jc w:val="center"/>
            </w:pPr>
            <w:r>
              <w:rPr>
                <w:rFonts w:ascii="Aptos" w:hAnsi="Aptos" w:eastAsia="Times New Roman"/>
                <w:b w:val="0"/>
                <w:color w:val="1F2933"/>
                <w:sz w:val="19"/>
              </w:rPr>
              <w:t>Heirat mit Addie M Mentzer am 31 August 1904</w:t>
            </w:r>
          </w:p>
        </w:tc>
        <w:tc>
          <w:tcPr>
            <w:tcW w:type="dxa" w:w="1800"/>
            <w:tcMar>
              <w:top w:w="90" w:type="dxa"/>
              <w:start w:w="110" w:type="dxa"/>
              <w:bottom w:w="90" w:type="dxa"/>
              <w:end w:w="110" w:type="dxa"/>
            </w:tcMar>
            <w:vAlign w:val="center"/>
            <w:shd w:fill="FFFFFF"/>
          </w:tcPr>
          <w:p>
            <w:pPr>
              <w:spacing w:line="252" w:lineRule="auto" w:after="100" w:before="80"/>
              <w:jc w:val="left"/>
            </w:pPr>
            <w:r>
              <w:rPr>
                <w:rFonts w:ascii="Aptos" w:hAnsi="Aptos" w:eastAsia="Times New Roman"/>
                <w:b w:val="0"/>
                <w:color w:val="1F2933"/>
                <w:sz w:val="19"/>
              </w:rPr>
              <w:t>gesichert</w:t>
            </w:r>
          </w:p>
        </w:tc>
        <w:tc>
          <w:tcPr>
            <w:tcW w:type="dxa" w:w="4608"/>
            <w:tcMar>
              <w:top w:w="90" w:type="dxa"/>
              <w:start w:w="110" w:type="dxa"/>
              <w:bottom w:w="90" w:type="dxa"/>
              <w:end w:w="110" w:type="dxa"/>
            </w:tcMar>
            <w:vAlign w:val="center"/>
            <w:shd w:fill="FFFFFF"/>
          </w:tcPr>
          <w:p>
            <w:pPr>
              <w:spacing w:line="252" w:lineRule="auto" w:after="100" w:before="80"/>
              <w:jc w:val="center"/>
            </w:pPr>
            <w:r>
              <w:rPr>
                <w:rFonts w:ascii="Aptos" w:hAnsi="Aptos" w:eastAsia="Times New Roman"/>
                <w:b w:val="0"/>
                <w:color w:val="1F2933"/>
                <w:sz w:val="19"/>
              </w:rPr>
              <w:t>Indexierter Heiratseintrag in Mahoning County Ohio; bestätigt durch Biografie von 1909</w:t>
            </w:r>
          </w:p>
        </w:tc>
      </w:tr>
      <w:tr>
        <w:trPr>
          <w:cantSplit/>
        </w:trPr>
        <w:tc>
          <w:tcPr>
            <w:tcW w:type="dxa" w:w="3384"/>
            <w:tcMar>
              <w:top w:w="90" w:type="dxa"/>
              <w:start w:w="110" w:type="dxa"/>
              <w:bottom w:w="90" w:type="dxa"/>
              <w:end w:w="110" w:type="dxa"/>
            </w:tcMar>
            <w:vAlign w:val="center"/>
            <w:shd w:fill="EEF4F8"/>
          </w:tcPr>
          <w:p>
            <w:pPr>
              <w:spacing w:line="252" w:lineRule="auto" w:after="100" w:before="80"/>
              <w:jc w:val="center"/>
            </w:pPr>
            <w:r>
              <w:rPr>
                <w:rFonts w:ascii="Aptos" w:hAnsi="Aptos" w:eastAsia="Times New Roman"/>
                <w:b w:val="0"/>
                <w:color w:val="1F2933"/>
                <w:sz w:val="19"/>
              </w:rPr>
              <w:t>Spätere Trennung oder Scheidung</w:t>
            </w:r>
          </w:p>
        </w:tc>
        <w:tc>
          <w:tcPr>
            <w:tcW w:type="dxa" w:w="1800"/>
            <w:tcMar>
              <w:top w:w="90" w:type="dxa"/>
              <w:start w:w="110" w:type="dxa"/>
              <w:bottom w:w="90" w:type="dxa"/>
              <w:end w:w="110" w:type="dxa"/>
            </w:tcMar>
            <w:vAlign w:val="center"/>
            <w:shd w:fill="EEF4F8"/>
          </w:tcPr>
          <w:p>
            <w:pPr>
              <w:spacing w:line="252" w:lineRule="auto" w:after="100" w:before="80"/>
              <w:jc w:val="left"/>
            </w:pPr>
            <w:r>
              <w:rPr>
                <w:rFonts w:ascii="Aptos" w:hAnsi="Aptos" w:eastAsia="Times New Roman"/>
                <w:b w:val="0"/>
                <w:color w:val="1F2933"/>
                <w:sz w:val="19"/>
              </w:rPr>
              <w:t>teilweise gesichert</w:t>
            </w:r>
          </w:p>
        </w:tc>
        <w:tc>
          <w:tcPr>
            <w:tcW w:type="dxa" w:w="4608"/>
            <w:tcMar>
              <w:top w:w="90" w:type="dxa"/>
              <w:start w:w="110" w:type="dxa"/>
              <w:bottom w:w="90" w:type="dxa"/>
              <w:end w:w="110" w:type="dxa"/>
            </w:tcMar>
            <w:vAlign w:val="center"/>
            <w:shd w:fill="EEF4F8"/>
          </w:tcPr>
          <w:p>
            <w:pPr>
              <w:spacing w:line="252" w:lineRule="auto" w:after="100" w:before="80"/>
              <w:jc w:val="center"/>
            </w:pPr>
            <w:r>
              <w:rPr>
                <w:rFonts w:ascii="Aptos" w:hAnsi="Aptos" w:eastAsia="Times New Roman"/>
                <w:b w:val="0"/>
                <w:color w:val="1F2933"/>
                <w:sz w:val="19"/>
              </w:rPr>
              <w:t>Getrennte Anschriften ab 1918; Nelson wird 1921 in der zweiten Heiratsurkunde als geschieden bezeichnet</w:t>
            </w:r>
          </w:p>
        </w:tc>
      </w:tr>
      <w:tr>
        <w:trPr>
          <w:cantSplit/>
        </w:trPr>
        <w:tc>
          <w:tcPr>
            <w:tcW w:type="dxa" w:w="3384"/>
            <w:tcMar>
              <w:top w:w="90" w:type="dxa"/>
              <w:start w:w="110" w:type="dxa"/>
              <w:bottom w:w="90" w:type="dxa"/>
              <w:end w:w="110" w:type="dxa"/>
            </w:tcMar>
            <w:vAlign w:val="center"/>
            <w:shd w:fill="FFFFFF"/>
          </w:tcPr>
          <w:p>
            <w:pPr>
              <w:spacing w:line="252" w:lineRule="auto" w:after="100" w:before="80"/>
              <w:jc w:val="center"/>
            </w:pPr>
            <w:r>
              <w:rPr>
                <w:rFonts w:ascii="Aptos" w:hAnsi="Aptos" w:eastAsia="Times New Roman"/>
                <w:b w:val="0"/>
                <w:color w:val="1F2933"/>
                <w:sz w:val="19"/>
              </w:rPr>
              <w:t>Heirat mit Maude Burrell Watson am 6 November 1921</w:t>
            </w:r>
          </w:p>
        </w:tc>
        <w:tc>
          <w:tcPr>
            <w:tcW w:type="dxa" w:w="1800"/>
            <w:tcMar>
              <w:top w:w="90" w:type="dxa"/>
              <w:start w:w="110" w:type="dxa"/>
              <w:bottom w:w="90" w:type="dxa"/>
              <w:end w:w="110" w:type="dxa"/>
            </w:tcMar>
            <w:vAlign w:val="center"/>
            <w:shd w:fill="FFFFFF"/>
          </w:tcPr>
          <w:p>
            <w:pPr>
              <w:spacing w:line="252" w:lineRule="auto" w:after="100" w:before="80"/>
              <w:jc w:val="left"/>
            </w:pPr>
            <w:r>
              <w:rPr>
                <w:rFonts w:ascii="Aptos" w:hAnsi="Aptos" w:eastAsia="Times New Roman"/>
                <w:b w:val="0"/>
                <w:color w:val="1F2933"/>
                <w:sz w:val="19"/>
              </w:rPr>
              <w:t>gesichert</w:t>
            </w:r>
          </w:p>
        </w:tc>
        <w:tc>
          <w:tcPr>
            <w:tcW w:type="dxa" w:w="4608"/>
            <w:tcMar>
              <w:top w:w="90" w:type="dxa"/>
              <w:start w:w="110" w:type="dxa"/>
              <w:bottom w:w="90" w:type="dxa"/>
              <w:end w:w="110" w:type="dxa"/>
            </w:tcMar>
            <w:vAlign w:val="center"/>
            <w:shd w:fill="FFFFFF"/>
          </w:tcPr>
          <w:p>
            <w:pPr>
              <w:spacing w:line="252" w:lineRule="auto" w:after="100" w:before="80"/>
              <w:jc w:val="center"/>
            </w:pPr>
            <w:r>
              <w:rPr>
                <w:rFonts w:ascii="Aptos" w:hAnsi="Aptos" w:eastAsia="Times New Roman"/>
                <w:b w:val="0"/>
                <w:color w:val="1F2933"/>
                <w:sz w:val="19"/>
              </w:rPr>
              <w:t>Heiratseintrag San Francisco mit übereinstimmenden Datensätzen für Braut und Bräutigam</w:t>
            </w:r>
          </w:p>
        </w:tc>
      </w:tr>
      <w:tr>
        <w:trPr>
          <w:cantSplit/>
        </w:trPr>
        <w:tc>
          <w:tcPr>
            <w:tcW w:type="dxa" w:w="3384"/>
            <w:tcMar>
              <w:top w:w="90" w:type="dxa"/>
              <w:start w:w="110" w:type="dxa"/>
              <w:bottom w:w="90" w:type="dxa"/>
              <w:end w:w="110" w:type="dxa"/>
            </w:tcMar>
            <w:vAlign w:val="center"/>
            <w:shd w:fill="EEF4F8"/>
          </w:tcPr>
          <w:p>
            <w:pPr>
              <w:spacing w:line="252" w:lineRule="auto" w:after="100" w:before="80"/>
            </w:pPr>
            <w:r>
              <w:rPr>
                <w:sz w:val="19"/>
              </w:rPr>
              <w:t>Gleiche Anschrift zweier Namenseinträge im Jahr 1920</w:t>
            </w:r>
          </w:p>
        </w:tc>
        <w:tc>
          <w:tcPr>
            <w:tcW w:type="dxa" w:w="1800"/>
            <w:tcMar>
              <w:top w:w="90" w:type="dxa"/>
              <w:start w:w="110" w:type="dxa"/>
              <w:bottom w:w="90" w:type="dxa"/>
              <w:end w:w="110" w:type="dxa"/>
            </w:tcMar>
            <w:vAlign w:val="center"/>
            <w:shd w:fill="EEF4F8"/>
          </w:tcPr>
          <w:p>
            <w:pPr>
              <w:spacing w:line="252" w:lineRule="auto" w:after="100" w:before="80"/>
            </w:pPr>
            <w:r>
              <w:rPr>
                <w:sz w:val="19"/>
              </w:rPr>
              <w:t>Adressgleichheit gesichert; Identität offen</w:t>
            </w:r>
          </w:p>
        </w:tc>
        <w:tc>
          <w:tcPr>
            <w:tcW w:type="dxa" w:w="4608"/>
            <w:tcMar>
              <w:top w:w="90" w:type="dxa"/>
              <w:start w:w="110" w:type="dxa"/>
              <w:bottom w:w="90" w:type="dxa"/>
              <w:end w:w="110" w:type="dxa"/>
            </w:tcMar>
            <w:vAlign w:val="center"/>
            <w:shd w:fill="EEF4F8"/>
          </w:tcPr>
          <w:p>
            <w:pPr>
              <w:spacing w:line="252" w:lineRule="auto" w:after="100" w:before="80"/>
            </w:pPr>
            <w:r>
              <w:rPr>
                <w:sz w:val="19"/>
              </w:rPr>
              <w:t>Nelson B. Bailey und Maude B. Watson: 1143 Larkin. Firmenzusatz Smith &amp; Bailey erfordert Identitätsprüfung; kein Begegnungs- oder Haushaltsbeweis. [7]</w:t>
            </w:r>
          </w:p>
        </w:tc>
      </w:tr>
      <w:tr>
        <w:trPr>
          <w:cantSplit/>
        </w:trPr>
        <w:tc>
          <w:tcPr>
            <w:tcW w:type="dxa" w:w="3384"/>
            <w:tcMar>
              <w:top w:w="90" w:type="dxa"/>
              <w:start w:w="110" w:type="dxa"/>
              <w:bottom w:w="90" w:type="dxa"/>
              <w:end w:w="110" w:type="dxa"/>
            </w:tcMar>
            <w:vAlign w:val="center"/>
            <w:shd w:fill="FFFFFF"/>
          </w:tcPr>
          <w:p>
            <w:pPr>
              <w:spacing w:after="100" w:line="252" w:lineRule="auto" w:before="80"/>
              <w:jc w:val="center"/>
            </w:pPr>
            <w:r>
              <w:rPr>
                <w:rFonts w:ascii="Aptos" w:hAnsi="Aptos"/>
                <w:sz w:val="19"/>
              </w:rPr>
            </w:r>
            <w:r>
              <w:rPr>
                <w:rFonts w:ascii="Aptos" w:hAnsi="Aptos"/>
                <w:b w:val="0"/>
                <w:sz w:val="19"/>
              </w:rPr>
              <w:t>Addie lebte bis mindestens 1971 unter 685 Geary, Apartment 305</w:t>
            </w:r>
          </w:p>
        </w:tc>
        <w:tc>
          <w:tcPr>
            <w:tcW w:type="dxa" w:w="1800"/>
            <w:tcMar>
              <w:top w:w="90" w:type="dxa"/>
              <w:start w:w="110" w:type="dxa"/>
              <w:bottom w:w="90" w:type="dxa"/>
              <w:end w:w="110" w:type="dxa"/>
            </w:tcMar>
            <w:vAlign w:val="center"/>
            <w:shd w:fill="FFFFFF"/>
          </w:tcPr>
          <w:p>
            <w:pPr>
              <w:spacing w:after="100" w:line="252" w:lineRule="auto" w:before="80"/>
            </w:pPr>
            <w:r>
              <w:rPr>
                <w:rFonts w:ascii="Aptos" w:hAnsi="Aptos"/>
                <w:sz w:val="19"/>
              </w:rPr>
            </w:r>
            <w:r>
              <w:rPr>
                <w:rFonts w:ascii="Aptos" w:hAnsi="Aptos"/>
                <w:b w:val="0"/>
                <w:sz w:val="19"/>
              </w:rPr>
              <w:t>gut belegt</w:t>
            </w:r>
          </w:p>
        </w:tc>
        <w:tc>
          <w:tcPr>
            <w:tcW w:type="dxa" w:w="4608"/>
            <w:tcMar>
              <w:top w:w="90" w:type="dxa"/>
              <w:start w:w="110" w:type="dxa"/>
              <w:bottom w:w="90" w:type="dxa"/>
              <w:end w:w="110" w:type="dxa"/>
            </w:tcMar>
            <w:vAlign w:val="center"/>
            <w:shd w:fill="FFFFFF"/>
          </w:tcPr>
          <w:p>
            <w:pPr>
              <w:spacing w:after="100" w:line="252" w:lineRule="auto" w:before="80"/>
              <w:jc w:val="center"/>
            </w:pPr>
            <w:r>
              <w:rPr>
                <w:rFonts w:ascii="Aptos" w:hAnsi="Aptos"/>
                <w:sz w:val="19"/>
              </w:rPr>
            </w:r>
            <w:r>
              <w:rPr>
                <w:rFonts w:ascii="Aptos" w:hAnsi="Aptos"/>
                <w:b w:val="0"/>
                <w:sz w:val="19"/>
              </w:rPr>
              <w:t>Wiederholte Polk-Adressbucheinträge 1954 bis 1971; 1972 erstmals nicht mehr verzeichnet</w:t>
            </w:r>
          </w:p>
        </w:tc>
      </w:tr>
      <w:tr>
        <w:trPr>
          <w:cantSplit/>
        </w:trPr>
        <w:tc>
          <w:tcPr>
            <w:tcW w:type="dxa" w:w="3384"/>
            <w:tcMar>
              <w:top w:w="90" w:type="dxa"/>
              <w:start w:w="110" w:type="dxa"/>
              <w:bottom w:w="90" w:type="dxa"/>
              <w:end w:w="110" w:type="dxa"/>
            </w:tcMar>
            <w:vAlign w:val="center"/>
            <w:shd w:fill="EEF4F8"/>
          </w:tcPr>
          <w:p>
            <w:pPr>
              <w:spacing w:line="252" w:lineRule="auto" w:after="100" w:before="80"/>
              <w:jc w:val="center"/>
            </w:pPr>
            <w:r>
              <w:rPr>
                <w:rFonts w:ascii="Aptos" w:hAnsi="Aptos" w:eastAsia="Times New Roman"/>
                <w:b w:val="0"/>
                <w:color w:val="1F2933"/>
                <w:sz w:val="19"/>
              </w:rPr>
              <w:t>Kinderlosigkeit beider Ehen</w:t>
            </w:r>
          </w:p>
        </w:tc>
        <w:tc>
          <w:tcPr>
            <w:tcW w:type="dxa" w:w="1800"/>
            <w:tcMar>
              <w:top w:w="90" w:type="dxa"/>
              <w:start w:w="110" w:type="dxa"/>
              <w:bottom w:w="90" w:type="dxa"/>
              <w:end w:w="110" w:type="dxa"/>
            </w:tcMar>
            <w:vAlign w:val="center"/>
            <w:shd w:fill="EEF4F8"/>
          </w:tcPr>
          <w:p>
            <w:pPr>
              <w:spacing w:line="252" w:lineRule="auto" w:after="100" w:before="80"/>
              <w:jc w:val="left"/>
            </w:pPr>
            <w:r>
              <w:rPr>
                <w:rFonts w:ascii="Aptos" w:hAnsi="Aptos" w:eastAsia="Times New Roman"/>
                <w:b w:val="0"/>
                <w:color w:val="1F2933"/>
                <w:sz w:val="19"/>
              </w:rPr>
              <w:t>noch nicht abschließend belegt</w:t>
            </w:r>
          </w:p>
        </w:tc>
        <w:tc>
          <w:tcPr>
            <w:tcW w:type="dxa" w:w="4608"/>
            <w:tcMar>
              <w:top w:w="90" w:type="dxa"/>
              <w:start w:w="110" w:type="dxa"/>
              <w:bottom w:w="90" w:type="dxa"/>
              <w:end w:w="110" w:type="dxa"/>
            </w:tcMar>
            <w:vAlign w:val="center"/>
            <w:shd w:fill="EEF4F8"/>
          </w:tcPr>
          <w:p>
            <w:pPr>
              <w:spacing w:line="252" w:lineRule="auto" w:after="100" w:before="80"/>
              <w:jc w:val="center"/>
            </w:pPr>
            <w:r>
              <w:rPr>
                <w:rFonts w:ascii="Aptos" w:hAnsi="Aptos" w:eastAsia="Times New Roman"/>
                <w:b w:val="0"/>
                <w:color w:val="1F2933"/>
                <w:sz w:val="19"/>
              </w:rPr>
              <w:t>In den ausgewerteten Profilen und Einträgen erscheinen keine Kinder; eine gezielte Prüfung der Originalzählungen und Nachlassakten steht aus</w:t>
            </w:r>
          </w:p>
        </w:tc>
      </w:tr>
      <w:tr>
        <w:trPr>
          <w:cantSplit/>
        </w:trPr>
        <w:tc>
          <w:tcPr>
            <w:tcW w:type="dxa" w:w="3384"/>
            <w:tcMar>
              <w:top w:w="90" w:type="dxa"/>
              <w:start w:w="110" w:type="dxa"/>
              <w:bottom w:w="90" w:type="dxa"/>
              <w:end w:w="110" w:type="dxa"/>
            </w:tcMar>
            <w:vAlign w:val="center"/>
            <w:shd w:fill="FFFFFF"/>
          </w:tcPr>
          <w:p>
            <w:pPr>
              <w:spacing w:line="252" w:lineRule="auto" w:after="100" w:before="80"/>
              <w:jc w:val="center"/>
            </w:pPr>
            <w:r>
              <w:rPr>
                <w:rFonts w:ascii="Aptos" w:hAnsi="Aptos" w:eastAsia="Times New Roman"/>
                <w:b w:val="0"/>
                <w:color w:val="1F2933"/>
                <w:sz w:val="19"/>
              </w:rPr>
              <w:t>Porträtfotos von Addie oder Maude</w:t>
            </w:r>
          </w:p>
        </w:tc>
        <w:tc>
          <w:tcPr>
            <w:tcW w:type="dxa" w:w="1800"/>
            <w:tcMar>
              <w:top w:w="90" w:type="dxa"/>
              <w:start w:w="110" w:type="dxa"/>
              <w:bottom w:w="90" w:type="dxa"/>
              <w:end w:w="110" w:type="dxa"/>
            </w:tcMar>
            <w:vAlign w:val="center"/>
            <w:shd w:fill="FFFFFF"/>
          </w:tcPr>
          <w:p>
            <w:pPr>
              <w:spacing w:line="252" w:lineRule="auto" w:after="100" w:before="80"/>
              <w:jc w:val="left"/>
            </w:pPr>
            <w:r>
              <w:rPr>
                <w:rFonts w:ascii="Aptos" w:hAnsi="Aptos" w:eastAsia="Times New Roman"/>
                <w:b w:val="0"/>
                <w:color w:val="1F2933"/>
                <w:sz w:val="19"/>
              </w:rPr>
              <w:t>nicht belegt</w:t>
            </w:r>
          </w:p>
        </w:tc>
        <w:tc>
          <w:tcPr>
            <w:tcW w:type="dxa" w:w="4608"/>
            <w:tcMar>
              <w:top w:w="90" w:type="dxa"/>
              <w:start w:w="110" w:type="dxa"/>
              <w:bottom w:w="90" w:type="dxa"/>
              <w:end w:w="110" w:type="dxa"/>
            </w:tcMar>
            <w:vAlign w:val="center"/>
            <w:shd w:fill="FFFFFF"/>
          </w:tcPr>
          <w:p>
            <w:pPr>
              <w:spacing w:line="252" w:lineRule="auto" w:after="100" w:before="80"/>
              <w:jc w:val="center"/>
            </w:pPr>
            <w:r>
              <w:rPr>
                <w:rFonts w:ascii="Aptos" w:hAnsi="Aptos" w:eastAsia="Times New Roman"/>
                <w:b w:val="0"/>
                <w:color w:val="1F2933"/>
                <w:sz w:val="19"/>
              </w:rPr>
              <w:t>Bislang wurde kein Bild gefunden, das quellenmäßig sicher einer der beiden Frauen zugeordnet werden kann</w:t>
            </w:r>
          </w:p>
        </w:tc>
      </w:tr>
      <w:tr>
        <w:trPr>
          <w:cantSplit/>
        </w:trPr>
        <w:tc>
          <w:tcPr>
            <w:tcW w:type="dxa" w:w="3264"/>
            <w:vAlign w:val="center"/>
            <w:tcMar>
              <w:top w:w="90" w:type="dxa"/>
              <w:start w:w="110" w:type="dxa"/>
              <w:bottom w:w="90" w:type="dxa"/>
              <w:end w:w="110" w:type="dxa"/>
            </w:tcMar>
            <w:shd w:fill="EEF4F8"/>
          </w:tcPr>
          <w:p>
            <w:pPr>
              <w:spacing w:after="100" w:line="252" w:lineRule="auto" w:before="80"/>
              <w:jc w:val="center"/>
            </w:pPr>
            <w:r>
              <w:rPr>
                <w:rFonts w:ascii="Aptos" w:hAnsi="Aptos"/>
                <w:sz w:val="19"/>
              </w:rPr>
              <w:t>Maude lebte beim Tod Nelsons im Juli 1948 in Santa Rosa</w:t>
            </w:r>
          </w:p>
        </w:tc>
        <w:tc>
          <w:tcPr>
            <w:tcW w:type="dxa" w:w="3264"/>
            <w:vAlign w:val="center"/>
            <w:tcMar>
              <w:top w:w="90" w:type="dxa"/>
              <w:start w:w="110" w:type="dxa"/>
              <w:bottom w:w="90" w:type="dxa"/>
              <w:end w:w="110" w:type="dxa"/>
            </w:tcMar>
            <w:shd w:fill="EEF4F8"/>
          </w:tcPr>
          <w:p>
            <w:pPr>
              <w:spacing w:after="100" w:line="252" w:lineRule="auto" w:before="80"/>
            </w:pPr>
            <w:r>
              <w:rPr>
                <w:rFonts w:ascii="Aptos" w:hAnsi="Aptos"/>
                <w:sz w:val="19"/>
              </w:rPr>
              <w:t>gesichert</w:t>
            </w:r>
          </w:p>
        </w:tc>
        <w:tc>
          <w:tcPr>
            <w:tcW w:type="dxa" w:w="3264"/>
            <w:vAlign w:val="center"/>
            <w:tcMar>
              <w:top w:w="90" w:type="dxa"/>
              <w:start w:w="110" w:type="dxa"/>
              <w:bottom w:w="90" w:type="dxa"/>
              <w:end w:w="110" w:type="dxa"/>
            </w:tcMar>
            <w:shd w:fill="EEF4F8"/>
          </w:tcPr>
          <w:p>
            <w:pPr>
              <w:spacing w:after="100" w:line="252" w:lineRule="auto" w:before="80"/>
              <w:jc w:val="center"/>
            </w:pPr>
            <w:r>
              <w:rPr>
                <w:rFonts w:ascii="Aptos" w:hAnsi="Aptos"/>
                <w:sz w:val="19"/>
              </w:rPr>
              <w:t>Todesanzeige vom 25. Juli 1948 nennt sie als Ehefrau von Nelson Bailey in Santa Rosa</w:t>
            </w:r>
          </w:p>
        </w:tc>
      </w:tr>
      <w:tr>
        <w:trPr>
          <w:cantSplit/>
        </w:trPr>
        <w:tc>
          <w:tcPr>
            <w:tcW w:type="dxa" w:w="3264"/>
            <w:vAlign w:val="center"/>
            <w:tcMar>
              <w:top w:w="90" w:type="dxa"/>
              <w:start w:w="110" w:type="dxa"/>
              <w:bottom w:w="90" w:type="dxa"/>
              <w:end w:w="110" w:type="dxa"/>
            </w:tcMar>
          </w:tcPr>
          <w:p>
            <w:pPr>
              <w:spacing w:after="100" w:line="252" w:lineRule="auto" w:before="80"/>
              <w:jc w:val="center"/>
            </w:pPr>
            <w:r>
              <w:rPr>
                <w:rFonts w:ascii="Aptos" w:hAnsi="Aptos"/>
                <w:sz w:val="19"/>
              </w:rPr>
              <w:t>Maude wohnte im April 1950 weiterhin an der früheren Anschrift</w:t>
            </w:r>
          </w:p>
        </w:tc>
        <w:tc>
          <w:tcPr>
            <w:tcW w:type="dxa" w:w="3264"/>
            <w:vAlign w:val="center"/>
            <w:tcMar>
              <w:top w:w="90" w:type="dxa"/>
              <w:start w:w="110" w:type="dxa"/>
              <w:bottom w:w="90" w:type="dxa"/>
              <w:end w:w="110" w:type="dxa"/>
            </w:tcMar>
          </w:tcPr>
          <w:p>
            <w:pPr>
              <w:spacing w:after="100" w:line="252" w:lineRule="auto" w:before="80"/>
            </w:pPr>
            <w:r>
              <w:rPr>
                <w:rFonts w:ascii="Aptos" w:hAnsi="Aptos"/>
                <w:sz w:val="19"/>
              </w:rPr>
              <w:t>nicht belegt</w:t>
            </w:r>
          </w:p>
        </w:tc>
        <w:tc>
          <w:tcPr>
            <w:tcW w:type="dxa" w:w="3264"/>
            <w:vAlign w:val="center"/>
            <w:tcMar>
              <w:top w:w="90" w:type="dxa"/>
              <w:start w:w="110" w:type="dxa"/>
              <w:bottom w:w="90" w:type="dxa"/>
              <w:end w:w="110" w:type="dxa"/>
            </w:tcMar>
          </w:tcPr>
          <w:p>
            <w:pPr>
              <w:spacing w:after="100" w:line="252" w:lineRule="auto" w:before="80"/>
              <w:jc w:val="center"/>
            </w:pPr>
            <w:r>
              <w:rPr>
                <w:rFonts w:ascii="Aptos" w:hAnsi="Aptos"/>
                <w:sz w:val="19"/>
              </w:rPr>
              <w:t>Im geprüften Zensusbezirk kein passender Bailey-, Maude- oder Clara-Treffer; OCR- und Erfassungslücken bleiben möglich</w:t>
            </w:r>
          </w:p>
        </w:tc>
      </w:tr>
      <w:tr>
        <w:trPr>
          <w:cantSplit/>
        </w:trPr>
        <w:tc>
          <w:tcPr>
            <w:tcW w:type="dxa" w:w="3264"/>
            <w:vAlign w:val="center"/>
            <w:tcMar>
              <w:top w:w="90" w:type="dxa"/>
              <w:start w:w="110" w:type="dxa"/>
              <w:bottom w:w="90" w:type="dxa"/>
              <w:end w:w="110" w:type="dxa"/>
            </w:tcMar>
            <w:shd w:fill="EEF4F8"/>
          </w:tcPr>
          <w:p>
            <w:pPr>
              <w:spacing w:after="100" w:line="252" w:lineRule="auto" w:before="80"/>
              <w:jc w:val="center"/>
            </w:pPr>
            <w:r>
              <w:rPr>
                <w:rFonts w:ascii="Aptos" w:hAnsi="Aptos"/>
                <w:sz w:val="19"/>
              </w:rPr>
              <w:t>Clara Bailey in Fort Dick war Nelsons Witwe</w:t>
            </w:r>
          </w:p>
        </w:tc>
        <w:tc>
          <w:tcPr>
            <w:tcW w:type="dxa" w:w="3264"/>
            <w:vAlign w:val="center"/>
            <w:tcMar>
              <w:top w:w="90" w:type="dxa"/>
              <w:start w:w="110" w:type="dxa"/>
              <w:bottom w:w="90" w:type="dxa"/>
              <w:end w:w="110" w:type="dxa"/>
            </w:tcMar>
            <w:shd w:fill="EEF4F8"/>
          </w:tcPr>
          <w:p>
            <w:pPr>
              <w:spacing w:after="100" w:line="252" w:lineRule="auto" w:before="80"/>
            </w:pPr>
            <w:r>
              <w:rPr>
                <w:rFonts w:ascii="Aptos" w:hAnsi="Aptos"/>
                <w:sz w:val="19"/>
              </w:rPr>
              <w:t>ausgeschlossen</w:t>
            </w:r>
          </w:p>
        </w:tc>
        <w:tc>
          <w:tcPr>
            <w:tcW w:type="dxa" w:w="3264"/>
            <w:vAlign w:val="center"/>
            <w:tcMar>
              <w:top w:w="90" w:type="dxa"/>
              <w:start w:w="110" w:type="dxa"/>
              <w:bottom w:w="90" w:type="dxa"/>
              <w:end w:w="110" w:type="dxa"/>
            </w:tcMar>
            <w:shd w:fill="EEF4F8"/>
          </w:tcPr>
          <w:p>
            <w:pPr>
              <w:spacing w:after="100" w:line="252" w:lineRule="auto" w:before="80"/>
              <w:jc w:val="center"/>
            </w:pPr>
            <w:r>
              <w:rPr>
                <w:rFonts w:ascii="Aptos" w:hAnsi="Aptos"/>
                <w:sz w:val="19"/>
              </w:rPr>
              <w:t>Zeitungsberichte ordnen diese Clara der Familie Walker zu; Maudes Eltern hießen Burrell und Spencer</w:t>
            </w:r>
          </w:p>
        </w:tc>
      </w:tr>
      <w:tr>
        <w:trPr>
          <w:cantSplit/>
        </w:trPr>
        <w:tc>
          <w:tcPr>
            <w:tcW w:type="dxa" w:w="3264"/>
            <w:vAlign w:val="center"/>
            <w:tcMar>
              <w:top w:w="90" w:type="dxa"/>
              <w:start w:w="110" w:type="dxa"/>
              <w:bottom w:w="90" w:type="dxa"/>
              <w:end w:w="110" w:type="dxa"/>
            </w:tcMar>
          </w:tcPr>
          <w:p>
            <w:pPr>
              <w:spacing w:after="100" w:line="252" w:lineRule="auto" w:before="80"/>
              <w:jc w:val="center"/>
            </w:pPr>
            <w:r>
              <w:rPr>
                <w:rFonts w:ascii="Aptos" w:hAnsi="Aptos"/>
                <w:sz w:val="19"/>
              </w:rPr>
              <w:t>Die 1976 in Berkeley verstorbene Maude Bailey war Nelsons Witwe</w:t>
            </w:r>
          </w:p>
        </w:tc>
        <w:tc>
          <w:tcPr>
            <w:tcW w:type="dxa" w:w="3264"/>
            <w:vAlign w:val="center"/>
            <w:tcMar>
              <w:top w:w="90" w:type="dxa"/>
              <w:start w:w="110" w:type="dxa"/>
              <w:bottom w:w="90" w:type="dxa"/>
              <w:end w:w="110" w:type="dxa"/>
            </w:tcMar>
          </w:tcPr>
          <w:p>
            <w:pPr>
              <w:spacing w:after="100" w:line="252" w:lineRule="auto" w:before="80"/>
            </w:pPr>
            <w:r>
              <w:rPr>
                <w:rFonts w:ascii="Aptos" w:hAnsi="Aptos"/>
                <w:sz w:val="19"/>
              </w:rPr>
              <w:t>ausgeschlossen</w:t>
            </w:r>
          </w:p>
        </w:tc>
        <w:tc>
          <w:tcPr>
            <w:tcW w:type="dxa" w:w="3264"/>
            <w:vAlign w:val="center"/>
            <w:tcMar>
              <w:top w:w="90" w:type="dxa"/>
              <w:start w:w="110" w:type="dxa"/>
              <w:bottom w:w="90" w:type="dxa"/>
              <w:end w:w="110" w:type="dxa"/>
            </w:tcMar>
          </w:tcPr>
          <w:p>
            <w:pPr>
              <w:spacing w:after="100" w:line="252" w:lineRule="auto" w:before="80"/>
              <w:jc w:val="center"/>
            </w:pPr>
            <w:r>
              <w:rPr>
                <w:rFonts w:ascii="Aptos" w:hAnsi="Aptos"/>
                <w:sz w:val="19"/>
              </w:rPr>
              <w:t>Sie war Maude R. Rowland Bailey, Ehefrau von Charles M. Bailey und Präsidentin seines Unternehmens</w:t>
            </w:r>
          </w:p>
        </w:tc>
      </w:tr>
      <w:tr>
        <w:trPr>
          <w:cantSplit/>
        </w:trPr>
        <w:tc>
          <w:tcPr>
            <w:tcW w:type="dxa" w:w="3264"/>
            <w:vAlign w:val="center"/>
          </w:tcPr>
          <w:p>
            <w:pPr>
              <w:spacing w:line="252" w:lineRule="auto" w:after="100" w:before="80"/>
            </w:pPr>
            <w:r>
              <w:rPr>
                <w:sz w:val="19"/>
              </w:rPr>
              <w:t>Maudes Heirat mit Ralph Watson am 16. Juni 1902</w:t>
            </w:r>
          </w:p>
        </w:tc>
        <w:tc>
          <w:tcPr>
            <w:tcW w:type="dxa" w:w="3264"/>
            <w:vAlign w:val="center"/>
          </w:tcPr>
          <w:p>
            <w:pPr>
              <w:spacing w:line="252" w:lineRule="auto" w:after="100" w:before="80"/>
            </w:pPr>
            <w:r>
              <w:rPr>
                <w:sz w:val="19"/>
              </w:rPr>
              <w:t>durch Zeitungen belegt</w:t>
            </w:r>
          </w:p>
        </w:tc>
        <w:tc>
          <w:tcPr>
            <w:tcW w:type="dxa" w:w="3264"/>
            <w:vAlign w:val="center"/>
          </w:tcPr>
          <w:p>
            <w:pPr>
              <w:spacing w:line="252" w:lineRule="auto" w:after="100" w:before="80"/>
            </w:pPr>
            <w:r>
              <w:rPr>
                <w:sz w:val="19"/>
              </w:rPr>
              <w:t>Zwei Hochzeitsmeldungen aus Juni 1902; übereinstimmende Orte und Namen [47–48]</w:t>
            </w:r>
          </w:p>
        </w:tc>
      </w:tr>
      <w:tr>
        <w:trPr>
          <w:cantSplit/>
        </w:trPr>
        <w:tc>
          <w:tcPr>
            <w:tcW w:type="dxa" w:w="3264"/>
            <w:vAlign w:val="center"/>
          </w:tcPr>
          <w:p>
            <w:pPr>
              <w:spacing w:line="252" w:lineRule="auto" w:after="100" w:before="80"/>
            </w:pPr>
            <w:r>
              <w:rPr>
                <w:sz w:val="19"/>
              </w:rPr>
              <w:t>Ralph Watsons Tod 1915 und Maudes Witwenschaft</w:t>
            </w:r>
          </w:p>
        </w:tc>
        <w:tc>
          <w:tcPr>
            <w:tcW w:type="dxa" w:w="3264"/>
            <w:vAlign w:val="center"/>
          </w:tcPr>
          <w:p>
            <w:pPr>
              <w:spacing w:line="252" w:lineRule="auto" w:after="100" w:before="80"/>
            </w:pPr>
            <w:r>
              <w:rPr>
                <w:sz w:val="19"/>
              </w:rPr>
              <w:t>durch Nachruf belegt</w:t>
            </w:r>
          </w:p>
        </w:tc>
        <w:tc>
          <w:tcPr>
            <w:tcW w:type="dxa" w:w="3264"/>
            <w:vAlign w:val="center"/>
          </w:tcPr>
          <w:p>
            <w:pPr>
              <w:spacing w:line="252" w:lineRule="auto" w:after="100" w:before="80"/>
            </w:pPr>
            <w:r>
              <w:rPr>
                <w:sz w:val="19"/>
              </w:rPr>
              <w:t>Nachruf vom 4. November 1915 nennt Ehe und überlebende Frau; genauer Todestag fehlt [49]</w:t>
            </w:r>
          </w:p>
        </w:tc>
      </w:tr>
      <w:tr>
        <w:trPr>
          <w:cantSplit/>
        </w:trPr>
        <w:tc>
          <w:tcPr>
            <w:tcW w:type="dxa" w:w="3264"/>
            <w:vAlign w:val="center"/>
          </w:tcPr>
          <w:p>
            <w:pPr>
              <w:spacing w:line="252" w:lineRule="auto" w:after="100" w:before="80"/>
            </w:pPr>
            <w:r>
              <w:rPr>
                <w:sz w:val="19"/>
              </w:rPr>
              <w:t>Maudes Rückkehr aus Honolulu 1911</w:t>
            </w:r>
          </w:p>
        </w:tc>
        <w:tc>
          <w:tcPr>
            <w:tcW w:type="dxa" w:w="3264"/>
            <w:vAlign w:val="center"/>
          </w:tcPr>
          <w:p>
            <w:pPr>
              <w:spacing w:line="252" w:lineRule="auto" w:after="100" w:before="80"/>
            </w:pPr>
            <w:r>
              <w:rPr>
                <w:sz w:val="19"/>
              </w:rPr>
              <w:t>durch Zeitungsmeldung belegt</w:t>
            </w:r>
          </w:p>
        </w:tc>
        <w:tc>
          <w:tcPr>
            <w:tcW w:type="dxa" w:w="3264"/>
            <w:vAlign w:val="center"/>
          </w:tcPr>
          <w:p>
            <w:pPr>
              <w:spacing w:line="252" w:lineRule="auto" w:after="100" w:before="80"/>
            </w:pPr>
            <w:r>
              <w:rPr>
                <w:sz w:val="19"/>
              </w:rPr>
              <w:t>Voller Name Maude Burrell Watson und Anschrift 493 Haight Street [52]</w:t>
            </w:r>
          </w:p>
        </w:tc>
      </w:tr>
    </w:tbl>
    <w:p>
      <w:pPr>
        <w:pStyle w:val="Heading1"/>
      </w:pPr>
      <w:r>
        <w:rPr>
          <w:rFonts w:ascii="Times New Roman" w:hAnsi="Times New Roman" w:eastAsia="Times New Roman"/>
          <w:b/>
          <w:color w:val="000000"/>
          <w:sz w:val="30"/>
        </w:rPr>
        <w:t>Addie M Mentzer Bailey</w:t>
      </w:r>
    </w:p>
    <w:p>
      <w:pPr>
        <w:keepLines/>
        <w:spacing w:line="348" w:lineRule="auto" w:after="140"/>
        <w:ind w:firstLine="360"/>
        <w:jc w:val="left"/>
      </w:pPr>
      <w:r>
        <w:rPr>
          <w:rFonts w:ascii="Times New Roman" w:hAnsi="Times New Roman" w:eastAsia="Times New Roman"/>
          <w:color w:val="1F2933"/>
          <w:sz w:val="22"/>
        </w:rPr>
        <w:t>Der Heiratseintrag aus Mahoning County, Ohio, nennt N. Burdette Bailey und Addie M. Mentzer und datiert die Eheschließung auf den 31. August 1904. Eine biografische Skizze von 1909 über Nelson Burdette Bailey bestätigt die Ehe mit Addie Mentzer. Der Bundeszensus von 1910 führt Nelson in Youngstown, Ohio; ein genealogisches Profil verknüpft diesen Haushalt ebenfalls mit Addie. Für den Namen der ersten Ehefrau ist deshalb „Addie M. Mentzer“ die belastbarste Form.</w:t>
      </w:r>
    </w:p>
    <w:p>
      <w:pPr>
        <w:spacing w:line="348" w:lineRule="auto" w:after="140"/>
        <w:ind w:firstLine="360"/>
        <w:jc w:val="left"/>
      </w:pPr>
      <w:r>
        <w:rPr>
          <w:rFonts w:ascii="Times New Roman" w:hAnsi="Times New Roman" w:eastAsia="Times New Roman"/>
          <w:color w:val="1F2933"/>
          <w:sz w:val="22"/>
        </w:rPr>
        <w:t>Die in einem FamilySearch-Stammbaumprofil sichtbare Form „Adda G. Mentzer“ hat geringeres Gewicht als der Heiratseintrag und die zeitnahe Biografie. Solche Profile fassen Angaben aus verschiedenen Datensätzen zusammen und können Tipp-, Lese- oder Verknüpfungsfehler enthalten. Für eine Veröffentlichung sollte die Profilform nicht als gleichwertige Namensvariante behandelt werden, solange kein eigenständiger Primärbeleg dafür vorliegt.</w:t>
      </w:r>
    </w:p>
    <w:p>
      <w:pPr>
        <w:pStyle w:val="Heading2"/>
      </w:pPr>
      <w:r>
        <w:rPr>
          <w:rFonts w:ascii="Times New Roman" w:hAnsi="Times New Roman" w:eastAsia="Times New Roman"/>
          <w:b/>
          <w:color w:val="000000"/>
          <w:sz w:val="25"/>
        </w:rPr>
        <w:t>Getrennte Anschriften und Scheidung</w:t>
      </w:r>
    </w:p>
    <w:p>
      <w:pPr>
        <w:spacing w:line="348" w:lineRule="auto" w:after="140"/>
        <w:ind w:firstLine="360"/>
        <w:jc w:val="left"/>
      </w:pPr>
      <w:r>
        <w:rPr>
          <w:rFonts w:ascii="Times New Roman" w:hAnsi="Times New Roman" w:eastAsia="Times New Roman"/>
          <w:color w:val="1F2933"/>
          <w:sz w:val="22"/>
        </w:rPr>
        <w:t>Die San-Francisco-Adressbücher liefern Hinweise auf getrennte Anschriften. Im Jahr 1918 erscheint „A Mrs“ unter 685 Geary, während Nelson B. Bailey unter 2026 Cabrillo geführt wird. 1920 lautet Addies Eintrag ausdrücklich „Addie M Mrs“, weiterhin unter 685 Geary. Der gleichzeitig unter 1143 Larkin geführte Nelson B. Bailey trägt den Firmenzusatz Smith &amp; Bailey; seine Gleichsetzung mit Nelson Burdette Bailey bleibt daher vorerst offen. Dieser Eintrag darf nicht ohne Vorbehalt als Beweis für Nelsons damaligen Wohnort oder die Trennung von Addie verwendet werden. [5, 7]</w:t>
      </w:r>
    </w:p>
    <w:p>
      <w:pPr>
        <w:spacing w:line="348" w:lineRule="auto" w:after="140"/>
        <w:ind w:firstLine="360"/>
        <w:jc w:val="left"/>
      </w:pPr>
      <w:r>
        <w:rPr>
          <w:rFonts w:ascii="Times New Roman" w:hAnsi="Times New Roman" w:eastAsia="Times New Roman"/>
          <w:color w:val="1F2933"/>
          <w:sz w:val="22"/>
        </w:rPr>
        <w:t>Der rechtliche Endpunkt der ersten Ehe ergibt sich erst aus der Heiratsurkunde von 1921: Nelsons Familienstand ist dort „Divorced“. Die Scheidung muss daher nach der Eheschließung von 1904 und vor dem 6. November 1921 erfolgt sein. Die getrennten Anschriften legen einen engeren Suchzeitraum ab 1918 nahe, beweisen ihn jedoch nicht. Für das genaue Datum ist der Scheidungsindex oder die Fallakte des zuständigen Gerichts erforderlich.</w:t>
      </w:r>
    </w:p>
    <w:p>
      <w:pPr>
        <w:pStyle w:val="Heading2"/>
      </w:pPr>
      <w:r>
        <w:rPr>
          <w:rFonts w:ascii="Times New Roman" w:hAnsi="Times New Roman" w:eastAsia="Times New Roman"/>
          <w:b/>
          <w:color w:val="000000"/>
          <w:sz w:val="25"/>
        </w:rPr>
        <w:t>Addies spätere Spur</w:t>
      </w:r>
    </w:p>
    <w:p>
      <w:pPr>
        <w:spacing w:line="348" w:lineRule="auto" w:after="140"/>
        <w:ind w:firstLine="360"/>
        <w:jc w:val="left"/>
      </w:pPr>
      <w:r>
        <w:rPr>
          <w:rFonts w:ascii="Aptos" w:hAnsi="Aptos"/>
        </w:rPr>
        <w:t>Addie blieb über Jahrzehnte mit 685 Geary verbunden. Neu ausgewertete Polk-Adressbücher führen sie 1954 und 1957 im Pontchartrain Apartments, Apartment 305, mit der Telefonnummer PR 5-8315. Weitere eindeutige Einträge folgen 1959, 1961 und 1962. In den Ausgaben 1964 bis 1966 wird sie zusätzlich als im Ruhestand bezeichnet. Auch 1967, 1968, 1969 bis 1970 und 1971 steht sie weiterhin unter 685 Geary, Apartment 305. Die 1968 angegebene Nummer 775-8315 entspricht der modernisierten Schreibweise von PR 5-8315.</w:t>
      </w:r>
    </w:p>
    <w:p>
      <w:pPr>
        <w:spacing w:line="348" w:lineRule="auto" w:after="140"/>
        <w:ind w:firstLine="360"/>
        <w:jc w:val="left"/>
      </w:pPr>
      <w:r>
        <w:rPr>
          <w:rFonts w:ascii="Aptos" w:hAnsi="Aptos"/>
        </w:rPr>
        <w:t>Der negative Zensusbefund von 1950 und das Fehlen im geprüften Bailey-Abschnitt des Adressbuchs von 1951 markieren daher keinen Endpunkt ihrer Spur. Solche Einzelbefunde können durch Nichterfassung, Abwesenheit oder redaktionelle Auslassung entstehen. Erst 1972 fehlt Addie im Adressbuch an 685 Geary; auch 1973 erscheint sie dort nicht. Das beweist weder einen Todesfall noch ein genaues Ereignisdatum. Möglich bleiben Tod, Umzug, Krankheit, Heim- oder Krankenhausaufenthalt oder eine Änderung der Erfassungsweise. Eine Todesurkunde, ein Nachruf, eine Nachlassakte oder ein späterer Heiratseintrag wurde bislang nicht eindeutig zugeordnet.</w:t>
      </w:r>
    </w:p>
    <w:p>
      <w:pPr>
        <w:pStyle w:val="Heading1"/>
      </w:pPr>
      <w:r>
        <w:rPr>
          <w:rFonts w:ascii="Times New Roman" w:hAnsi="Times New Roman" w:eastAsia="Times New Roman"/>
          <w:b/>
          <w:color w:val="000000"/>
          <w:sz w:val="30"/>
        </w:rPr>
        <w:t>Maude Burrell Watson Bailey</w:t>
      </w:r>
    </w:p>
    <w:p>
      <w:pPr>
        <w:keepLines/>
        <w:spacing w:line="348" w:lineRule="auto" w:after="140"/>
        <w:ind w:firstLine="0"/>
        <w:jc w:val="left"/>
      </w:pPr>
      <w:r>
        <w:t>Maudes erste Ehe ist inzwischen durch zeitgenössische Zeitungen belegt. Der Vinton Eagle vom 20. Juni 1902 nennt Maud Burrell und Ralph Watson; die Vinton Review vom Vortag nennt die Braut vollständig Clara Maude Burrell. Der Nachruf auf Ralph vom 4. November 1915 verbindet dieselbe Ehe mit Urbana, Fort Dodge und San Francisco und nennt seine überlebende Frau. Damit ist ihre Witwenschaft vor der Heirat mit Nelson auch unabhängig vom späteren Heiratsindex belegt. [47–49]</w:t>
      </w:r>
    </w:p>
    <w:p>
      <w:pPr>
        <w:pStyle w:val="Heading2"/>
      </w:pPr>
      <w:r>
        <w:rPr>
          <w:rFonts w:ascii="Times New Roman" w:hAnsi="Times New Roman"/>
          <w:color w:val="000000"/>
        </w:rPr>
        <w:t>Die Hochzeit mit Ralph Watson im Juni 1902</w:t>
      </w:r>
    </w:p>
    <w:p>
      <w:pPr/>
      <w:r>
        <w:t>Am Montag, dem 16. Juni 1902, heirateten Maude Burrell aus Urbana und Ralph Watson aus Fort Dodge in Cedar Rapids, Iowa. Nach der Vinton Review fand die Trauung um acht Uhr abends im Trinity-Pfarrhaus statt. Reverend Mershon nahm sie vor; der Vinton Eagle nennt ihn N. A. Mershon. Die Review gibt den Bräutigam mit den Initialen „R. N. Watson“ wieder. Da der Eagle den Vornamen Ralph ausschreibt, ist dieser gesichert; ein ausgeschriebener zweiter Vorname lässt sich aus den Meldungen nicht gewinnen. [47–48]</w:t>
      </w:r>
    </w:p>
    <w:p>
      <w:pPr/>
      <w:r>
        <w:t>Die Review berichtet von der Abreise mit einem späten Zug und einer geplanten Rückkehr um den 1. Juli. Der Eagle nennt als Reiseziel Excelsior Springs in Missouri. Als künftiger Wohnort war Fort Dodge vorgesehen, wo Ralph eine Anstellung in einem Schuhgeschäft hatte. Die Meldungen erlauben damit eine konkrete Darstellung des Hochzeitstags und der geplanten Reise. Sie nennen weder Gäste noch Kleidung, Vermögensverhältnisse oder persönliche Motive. Solche Einzelheiten wären in einer erzählerischen Fassung als erfundene Szene zu kennzeichnen. [47–48]</w:t>
      </w:r>
    </w:p>
    <w:p>
      <w:pPr>
        <w:pStyle w:val="Heading2"/>
      </w:pPr>
      <w:r>
        <w:rPr>
          <w:rFonts w:ascii="Times New Roman" w:hAnsi="Times New Roman"/>
          <w:color w:val="000000"/>
        </w:rPr>
        <w:t>Familie und gemeinsames Leben in Fort Dodge</w:t>
      </w:r>
    </w:p>
    <w:p>
      <w:pPr/>
      <w:r>
        <w:t>Ralph stammte laut seinem späteren Nachruf aus Vinton und war der zweite Sohn von Mr. und Mrs. Peter Watson. Seine Mutter wird als Blanche Watson genannt. Sein Großvater war der verstorbene S. H. Watson, den die Zeitung als frühen Bankier Vintons bezeichnet. Diese Herkunft ist ein belegbarer familiärer Hintergrund; daraus folgt kein Nachweis über Ralphs eigenes Vermögen oder eine finanzielle Absicherung Maudes. [49]</w:t>
      </w:r>
    </w:p>
    <w:p>
      <w:pPr/>
      <w:r>
        <w:t>Im März 1905 erscheinen Ralph und seine Frau gemeinsam in den Lokalnachrichten. Die Vinton Review berichtet zunächst von einem Besuch im Haus der Familie Watson und anschließend von einer Reise nach Urbana. In der Urbana-Rubrik wird ausdrücklich erklärt, dass sie die Eltern der Ehefrau, Mr. und Mrs. J. D. Burrell, besuchten. Die Meldung verbindet das Ehepaar mit Maudes Herkunftsfamilie und zeigt, dass der Kontakt zu beiden Familien fortbestand. [50]</w:t>
      </w:r>
    </w:p>
    <w:p>
      <w:pPr>
        <w:pStyle w:val="Heading2"/>
      </w:pPr>
      <w:r>
        <w:rPr>
          <w:rFonts w:ascii="Times New Roman" w:hAnsi="Times New Roman"/>
          <w:color w:val="000000"/>
        </w:rPr>
        <w:t>Umzug nach San Francisco und Aufenthalt in Honolulu</w:t>
      </w:r>
    </w:p>
    <w:p>
      <w:pPr/>
      <w:r>
        <w:t>Der Nachruf von 1915 erklärt, dass Ralph und Maude einige Jahre in Fort Dodge gelebt hätten und vor fünf oder sechs Jahren nach San Francisco gezogen seien. Daraus ergibt sich als ungefährer Umzugszeitraum 1909/1910. Ein Nachruf auf Maudes Vater Jay D. Burrell vom August 1910 nennt bereits „Mrs. Maude Watson, San Francisco, Calif.“. Diese zeitnahe Angabe stützt die spätere Erinnerung an den Umzug. Ralph arbeitete in San Francisco laut Nachruf in einem der führenden Schuhgeschäfte; ein Firmenname ist nicht angegeben. [49, 51]</w:t>
      </w:r>
    </w:p>
    <w:p>
      <w:pPr/>
      <w:r>
        <w:t>Am 30. Juni 1911 meldete der Vinton Eagle in seiner Urbana-Spalte, „Mrs. Maude Burrell Watson“ sei kürzlich aus Honolulu, Hawaii, zurückgekehrt. Als aktuelle Anschrift nennt er 493 Haight Street in San Francisco. Der volle Name und der Bezug zur Herkunftsgemeinde machen diese Meldung besonders aussagekräftig. Der Aufenthalt fällt in Maudes erste Ehe und liegt mehrere Jahre vor Ralphs Tod. [52]</w:t>
      </w:r>
    </w:p>
    <w:p>
      <w:pPr/>
      <w:r>
        <w:t>Dauer, Anlass und Begleitung der Reise bleiben offen. Es ist nicht belegt, dass Ralph mitreiste oder Maude dort musikalische Kontakte knüpfte. Die Meldung belegt jedoch eine eigene Hawaii-Erfahrung vor ihrer späteren Ehe mit dem Ukulele-Pädagogen Nelson Bailey. Eine Begegnung mit Keoki Awai oder eine Vermittlerrolle bei dessen Zusammenarbeit mit Nelson lässt sich daraus nicht ableiten.</w:t>
      </w:r>
    </w:p>
    <w:p>
      <w:pPr>
        <w:pStyle w:val="Heading2"/>
      </w:pPr>
      <w:r>
        <w:rPr>
          <w:rFonts w:ascii="Times New Roman" w:hAnsi="Times New Roman"/>
          <w:color w:val="000000"/>
        </w:rPr>
        <w:t>Ralph Watsons Tod im Jahr 1915</w:t>
      </w:r>
    </w:p>
    <w:p>
      <w:pPr/>
      <w:r>
        <w:t>Die Vinton Review veröffentlichte am 4. November 1915 auf Seite 1 den Nachruf „Former Vinton Boy Dead“. Die Todesnachricht war laut Artikel am vorausgegangenen Samstag in Vinton eingetroffen. Sie stammte von Ralphs Schwester Mrs. B. F. Schwartz aus Lincoln, Nebraska. Der genaue Todestag wird nicht genannt; der Bericht belegt, dass Ralph vor Veröffentlichung der Meldung gestorben war. [49]</w:t>
      </w:r>
    </w:p>
    <w:p>
      <w:pPr/>
      <w:r>
        <w:t>Als Todesursache nennt die Zeitung „Bright’s disease“. Für die Biografie sollte diese historische Bezeichnung als Quellenangabe stehen bleiben; eine präzise heutige Diagnose wird damit nicht nachträglich gestellt. Ralph hätte am 17. Dezember 1915 seinen 35. Geburtstag gefeiert. Dem Bericht zufolge starb er folglich mit 34 Jahren; der 17. Dezember 1880 als Geburtstag ist daraus rechnerisch erschlossen und noch nicht durch eine Geburtsurkunde bestätigt. [49]</w:t>
      </w:r>
    </w:p>
    <w:p>
      <w:pPr/>
      <w:r>
        <w:t>Der Nachruf nennt seine überlebende Ehefrau, seine Mutter Blanche Watson, den Bruder Dr. S. H. Watson aus Tucson, Arizona, und die Schwester Mrs. B. F. Schwartz. Die Mutter soll beim Tod ihres Sohnes anwesend gewesen sein. Trauerfeier und Beisetzung fanden nach dem Bericht in San Francisco statt. Ein konkreter Friedhof wird nicht genannt; die Ortsangabe ist bis zur Prüfung eines Bestattungsregisters als Aussage der Zeitung wiederzugeben. [49]</w:t>
      </w:r>
    </w:p>
    <w:p>
      <w:pPr/>
      <w:r>
        <w:t>Damit ist der bislang unbekannte Endpunkt von Maudes erster Ehe geklärt: Ralph Watson starb 1915 und hinterließ sie als Witwe. Zwischen der Hochzeit 1902 und seinem Tod lagen etwa dreizehn Jahre. Für eine Scheidung dieses Ehepaares gibt es in den hier ausgewerteten Quellen keinen Beleg; der Nachruf und die spätere Angabe „Widowed“ sprechen für das Ende der Ehe durch seinen Tod.</w:t>
      </w:r>
    </w:p>
    <w:p>
      <w:pPr>
        <w:pStyle w:val="Heading2"/>
      </w:pPr>
      <w:r>
        <w:rPr>
          <w:rFonts w:ascii="Times New Roman" w:hAnsi="Times New Roman"/>
          <w:color w:val="000000"/>
        </w:rPr>
        <w:t>Witwenschaft und familiäre Bindungen</w:t>
      </w:r>
    </w:p>
    <w:p>
      <w:pPr/>
      <w:r>
        <w:t>Der Nachruf auf Josephine Spencer Burrell vom 1. März 1917 nennt Maude Watson unter den überlebenden Kindern. Er ordnet sie Urbana zu und berichtet, alle acht überlebenden Kinder seien beim Tod der Mutter anwesend gewesen. Damit ist Maudes Verbindung zur Herkunftsfamilie auch nach Ralphs Tod belegt. Der Text erlaubt keine sichere Aussage darüber, wie lange sie in Iowa blieb oder ob sie die Mutter gepflegt hatte. [53]</w:t>
      </w:r>
    </w:p>
    <w:p>
      <w:pPr/>
      <w:r>
        <w:t>Das San-Francisco-Adressbuch von 1920 verzeichnet eine „Maude B Mrs“ unter Watson als Angestellte bei Chanslor &amp; Lyon, wohnhaft 1143 Larkin. Die Namensform passt zu Maude Burrell Watson; der Eintrag enthält jedoch weder Geburtsdaten noch Angaben zum früheren Ehemann. Die Zuordnung ist deshalb plausibel, aber noch unabhängig abzusichern. „clk“ bezeichnet eine Angestellten- beziehungsweise Schreibtätigkeit. Chanslor &amp; Lyon vertrieb Automobilzubehör und Reifen. Genaue Aufgaben, Arbeitszeit, Einkommen und finanzielle Lage dieser Frau gehen aus dem Eintrag nicht hervor. [7]</w:t>
      </w:r>
    </w:p>
    <w:p>
      <w:pPr>
        <w:pStyle w:val="Heading2"/>
      </w:pPr>
      <w:r>
        <w:rPr>
          <w:rFonts w:ascii="Times New Roman" w:hAnsi="Times New Roman"/>
          <w:color w:val="000000"/>
        </w:rPr>
        <w:t>Einordnung für die gemeinsame Biografie</w:t>
      </w:r>
    </w:p>
    <w:p>
      <w:pPr/>
      <w:r>
        <w:t>Das Erdbeben von 1906 kann als Vorgeschichte der Stadt in die Biografie eingehen. Die bislang belegte Umzugsangabe für Ralph und Maude weist jedoch auf 1909/1910. Ein persönliches Erleben des Erdbebens durch Maude ist damit nicht belegt. Auch ein früherer Besuch lässt sich aus diesen Quellen weder nachweisen noch ausschließen.</w:t>
      </w:r>
    </w:p>
    <w:p>
      <w:pPr/>
      <w:r>
        <w:t>Das Jahr der Panama-Pacific International Exposition 1915 ist zugleich das Jahr von Ralphs Tod. Für das Buch eröffnet das einen tragfähigen zeitlichen Zusammenhang zwischen dem öffentlichen Festjahr San Franciscos und einem privaten Verlust. Ein Besuch Maudes auf der Ausstellung, ihre dortigen Eindrücke oder ein Zusammenhang zwischen Ausstellung und Erkrankung ihres Mannes sind nicht nachgewiesen.</w:t>
      </w:r>
    </w:p>
    <w:p>
      <w:pPr/>
      <w:r>
        <w:t>Für die Verbindung mit Nelson und Keoki Awai ist Maudes Honolulu-Aufenthalt von 1911 bemerkenswert. Er darf als eigenständige biografische Erfahrung dargestellt werden. Ob hawaiianische Musik für sie damals eine Rolle spielte oder ob diese Erfahrung die spätere Beziehung beeinflusste, bleibt offen. Eine literarische Szene kann solche Möglichkeiten erkunden, muss aber klar von der belegten Biografie getrennt werden.</w:t>
      </w:r>
    </w:p>
    <w:p>
      <w:pPr/>
      <w:r>
        <w:t>Für eine quellennahe Darstellung lässt sich festhalten: Als Maude 1921 Nelson heiratete, hatte sie bereits eine etwa dreizehnjährige Ehe, einen gemeinsamen Umzug an die Westküste, einen Aufenthalt in Honolulu und ungefähr sechs Jahre Witwenschaft hinter sich. Die neue Ehe begann damit vor dem Hintergrund einer eigenständigen Lebensgeschichte, deren wesentliche Stationen nun zeitgenössisch belegt sind.</w:t>
      </w:r>
    </w:p>
    <w:p>
      <w:pPr>
        <w:pStyle w:val="Heading2"/>
      </w:pPr>
      <w:r>
        <w:rPr>
          <w:rFonts w:ascii="Times New Roman" w:hAnsi="Times New Roman" w:eastAsia="Times New Roman"/>
          <w:b/>
          <w:color w:val="000000"/>
          <w:sz w:val="25"/>
        </w:rPr>
        <w:t>Die Adressspur von 1920 und ihre Grenzen</w:t>
      </w:r>
    </w:p>
    <w:p>
      <w:pPr>
        <w:spacing w:line="348" w:lineRule="auto" w:after="140"/>
        <w:ind w:firstLine="360"/>
        <w:jc w:val="left"/>
      </w:pPr>
      <w:r>
        <w:t>Die Originalseiten des Adressbuchs von 1920 bestätigen zwei Einträge unter derselben Hausanschrift: Nelson B. Bailey mit dem Firmenzusatz Smith &amp; Bailey auf Seite 328 und Maude B. Watson, Angestellte bei Chanslor &amp; Lyon, auf Seite 1596. Beide nennen 1143 Larkin. Gesichert ist damit die Übereinstimmung der gedruckten Anschriften. Noch nicht gesichert ist, dass beide Einträge zweifelsfrei das spätere Ehepaar betreffen. Die frühere Forschungsnotiz hatte diese Zuordnung zu eindeutig formuliert; diese Bewertung wird hier korrigiert. [7]</w:t>
      </w:r>
    </w:p>
    <w:p>
      <w:pPr>
        <w:spacing w:line="348" w:lineRule="auto" w:after="140"/>
        <w:ind w:firstLine="360"/>
        <w:jc w:val="left"/>
      </w:pPr>
      <w:r>
        <w:t>Besonders der Firmenvermerk bei Nelson erfordert einen unabhängigen Abgleich. Smith &amp; Bailey wird im Adressbuch von 1921 als Unternehmen für Buchprüfung, Rechnungswesen und Steuerdienstleistungen geführt; als Partner erscheinen H. B. Smith und N. B. Bailey. Eine Tätigkeit des Musikpädagogen in diesem Unternehmen ist bisher nicht nachgewiesen. Eine zusätzliche berufliche Tätigkeit, ein Adressbuchfehler oder ein Namensvetter bleiben mögliche Erklärungen. Keine davon darf derzeit als feststehend dargestellt werden. [8]</w:t>
      </w:r>
    </w:p>
    <w:p>
      <w:pPr>
        <w:spacing w:line="348" w:lineRule="auto" w:after="140"/>
        <w:ind w:firstLine="360"/>
        <w:jc w:val="left"/>
      </w:pPr>
      <w:r>
        <w:t>Die angrenzenden Jahrgänge liefern zusätzliche Anhaltspunkte: 1919 steht Nelson B. Bailey bei Sherman, Clay &amp; Co. unter 1720 Broadway. 1922 erscheint Nelson B. Bailey ausdrücklich als Musiklehrer unter 560 Geary Street; 1923 führt das Branchenverzeichnis N. B. Bailey unter derselben Adresse in der Rubrik Teachers—Music. Diese Berufsangaben passen zu Nelson Burdette Bailey. Sie erklären jedoch weder den Firmenzusatz von 1920 noch beweisen sie eine Verbindung zur Larkin Street. Der Eintrag von 1919 wurde im digitalisierten Adressbuchtext geprüft, die Einträge von 1922 und 1923 zusätzlich im Seitenbild. [6, 54–55]</w:t>
      </w:r>
    </w:p>
    <w:p>
      <w:pPr>
        <w:spacing w:line="348" w:lineRule="auto" w:after="140"/>
        <w:ind w:firstLine="360"/>
        <w:jc w:val="left"/>
      </w:pPr>
      <w:r>
        <w:t>Sollten beide Einträge von 1920 tatsächlich Nelson und Maude betreffen, wäre das gemeinsame Gebäude eine konkrete Gelegenheit für alltägliche Begegnungen vor ihrer Hochzeit. Das Adressbuch nennt aber keine Wohnungsnummern und belegt weder einen gemeinsamen Haushalt noch eine Begegnung oder den Beginn einer Beziehung. Die Volkszählungsseite zu 1143 Larkin konnte bislang nicht eingesehen werden. Die Möglichkeit bleibt somit offen; eine Begegnung auf Hawaii ist weiterhin nicht nachgewiesen.</w:t>
      </w:r>
    </w:p>
    <w:p>
      <w:pPr>
        <w:spacing w:line="348" w:lineRule="auto" w:after="140"/>
        <w:ind w:firstLine="360"/>
        <w:jc w:val="left"/>
      </w:pPr>
      <w:r>
        <w:rPr>
          <w:rFonts w:ascii="Times New Roman" w:hAnsi="Times New Roman" w:eastAsia="Times New Roman"/>
          <w:color w:val="1F2933"/>
          <w:sz w:val="22"/>
        </w:rPr>
        <w:t>1921 nennt der Bailey-Abschnitt einen Nelson B. Bailey unter 3 Clement, ohne Berufsangabe; Addie steht weiter unter 685 Geary. Dieser Eintrag allein schließt die Identitätslücke ebenfalls nicht. Ein eindeutiger selbständiger Eintrag für Maude B. Watson wurde im geprüften Abschnitt nicht gefunden. Ihr Fehlen ist kein Beweis für Abwesenheit. [8]</w:t>
      </w:r>
    </w:p>
    <w:p>
      <w:pPr>
        <w:pStyle w:val="Heading2"/>
        <w:keepNext/>
      </w:pPr>
      <w:r>
        <w:rPr>
          <w:rFonts w:ascii="Times New Roman" w:hAnsi="Times New Roman"/>
          <w:color w:val="000000"/>
        </w:rPr>
        <w:t>Eine Namensspur ausgeschlossen</w:t>
      </w:r>
    </w:p>
    <w:p>
      <w:pPr>
        <w:keepLines/>
      </w:pPr>
      <w:r>
        <w:rPr>
          <w:rFonts w:ascii="Aptos" w:hAnsi="Aptos"/>
        </w:rPr>
        <w:t>Eine Maude M. Watson unter 439 Steiner wirkt zunächst wie eine mögliche spätere Spur. Die Polk-Ausgaben 1957 und 1958 bezeichnen diese Frau jedoch ausdrücklich als Witwe von George. Sie ist daher nicht mit Maude Burrell Watson Bailey gleichzusetzen und wird für deren Lebenslauf nicht herangezogen.</w:t>
      </w:r>
    </w:p>
    <w:p>
      <w:pPr>
        <w:pStyle w:val="Heading2"/>
      </w:pPr>
      <w:r>
        <w:rPr>
          <w:rFonts w:ascii="Times New Roman" w:hAnsi="Times New Roman" w:eastAsia="Times New Roman"/>
          <w:b/>
          <w:color w:val="000000"/>
          <w:sz w:val="25"/>
        </w:rPr>
        <w:t>Die zweite Heirat</w:t>
      </w:r>
    </w:p>
    <w:p>
      <w:pPr>
        <w:spacing w:line="348" w:lineRule="auto" w:after="140"/>
        <w:ind w:firstLine="360"/>
        <w:jc w:val="left"/>
      </w:pPr>
      <w:r>
        <w:t>Die Heirat mit Nelson ist auf den 6. November 1921 in San Francisco datiert. Die auf bailey-ukulele.de wiedergegebene Urkunde und die zugehörigen indexierten Datensätze werden dabei getrennt bewertet: Das gezeigte Dokument belegt die Eheschließung; die Angaben „Divorced“ für Nelson und „Widowed“ für Maude stammen aus der bislang ausgewerteten Registererschließung. Ralph Watsons Nachruf von 1915 bestätigt Maudes Witwenschaft nun zusätzlich durch eine zeitgenössische unabhängige Quelle. [9–11, 49]</w:t>
      </w:r>
    </w:p>
    <w:p>
      <w:pPr>
        <w:pStyle w:val="Heading2"/>
      </w:pPr>
      <w:r>
        <w:rPr>
          <w:rFonts w:ascii="Times New Roman" w:hAnsi="Times New Roman"/>
          <w:color w:val="000000"/>
        </w:rPr>
        <w:t>Letzte sichere Spur und offene Todesfrage</w:t>
      </w:r>
    </w:p>
    <w:p>
      <w:r>
        <w:t>Der letzte derzeit sichere Beleg für Maude ist Nelsons Todesanzeige im Press Democrat vom 25. Juli 1948. Sie bezeichnet den Verstorbenen als den geliebten Ehemann von Maude Bailey aus Santa Rosa. Damit steht fest, dass Maude im Juli 1948 lebte und weiterhin als seine Ehefrau galt. Ausgehend von einem Geburtsjahr 1878 war sie damals ungefähr 69 oder 70 Jahre alt.</w:t>
      </w:r>
    </w:p>
    <w:p>
      <w:r>
        <w:t>Für die Volkszählung vom April 1950 wurde die frühere Anschrift 429 Eighth Street in Santa Rosa dem Enumeration District 49-75 zugeordnet. Die Namens- und OCR-Suche in den 37 Seiten dieses Bezirks ergab keinen passenden Eintrag unter Bailey, Maude oder Clara. Der benachbarte District 49-76 umfasste ausschließlich das Ursuline Convent of the Sacred Heart. Weil die automatisierte Erkennung historischer Handschrift fehleranfällig ist, darf das Ausbleiben eines Treffers nicht als Todesbeweis behandelt werden.</w:t>
      </w:r>
    </w:p>
    <w:p>
      <w:r>
        <w:t>Ein Santa-Rosa-Adressbuch von 1949 ist bibliografisch nachgewiesen, konnte wegen der Zugriffsbeschränkungen der derzeit verfügbaren Digitalisate aber noch nicht im Original geprüft werden. Im frei zugänglichen Adressbuch von 1958 erscheint kein eindeutig passender Eintrag. Falls Maude in Santa Rosa blieb, liegt ein möglicher Tod oder Umzug zwischen Juli 1948 und April 1950 nahe; dies ist eine Arbeitshypothese, keine gesicherte Datierung.</w:t>
      </w:r>
    </w:p>
    <w:p>
      <w:pPr>
        <w:pStyle w:val="Heading2"/>
      </w:pPr>
      <w:r>
        <w:rPr>
          <w:rFonts w:ascii="Times New Roman" w:hAnsi="Times New Roman"/>
          <w:color w:val="000000"/>
        </w:rPr>
        <w:t>Ausgeschlossene Namensspuren</w:t>
      </w:r>
    </w:p>
    <w:p>
      <w:r>
        <w:t>Die in Berkeley registrierte Maude Bailey, geboren am 19. Januar 1878 oder 1879 und gestorben im März 1976, ist nicht Nelsons Witwe. Zeitgenössische Adressbuch- und Unternehmensangaben identifizieren sie als Maude R. Rowland Bailey, Ehefrau von Charles M. Bailey und spätere Präsidentin der Charles M. Bailey Company.</w:t>
      </w:r>
    </w:p>
    <w:p>
      <w:r>
        <w:t>Auch die Clara Bailey aus Fort Dick nahe Crescent City gehört nicht zu Nelsons Familie. Der Nachruf auf Bertha M. Wood von 1951 nennt Clara Bailey als deren Schwester; weitere Geschwister waren Etta Walker und Ira B. Walker. Bertha war eine Tochter von Henry und Mary Walker. Nelsons Ehefrau Maude war dagegen die Tochter von Jay D. Burrell und Josephine Spencer. Die Crescent-City- beziehungsweise Fort-Dick-Spur ist damit als Namensverwechslung ausgeschlossen.</w:t>
      </w:r>
    </w:p>
    <w:p>
      <w:pPr>
        <w:pStyle w:val="Heading1"/>
      </w:pPr>
      <w:r>
        <w:rPr>
          <w:rFonts w:ascii="Times New Roman" w:hAnsi="Times New Roman" w:eastAsia="Times New Roman"/>
          <w:b/>
          <w:color w:val="000000"/>
          <w:sz w:val="30"/>
        </w:rPr>
        <w:t>Chronologie</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264"/>
        <w:gridCol w:w="3264"/>
        <w:gridCol w:w="3264"/>
      </w:tblGrid>
      <w:tr>
        <w:trPr>
          <w:tblHeader w:val="true"/>
          <w:cantSplit/>
        </w:trPr>
        <w:tc>
          <w:tcPr>
            <w:tcW w:type="dxa" w:w="1800"/>
            <w:tcMar>
              <w:top w:w="95" w:type="dxa"/>
              <w:start w:w="110" w:type="dxa"/>
              <w:bottom w:w="95" w:type="dxa"/>
              <w:end w:w="110" w:type="dxa"/>
            </w:tcMar>
            <w:vAlign w:val="center"/>
            <w:shd w:fill="243B53"/>
          </w:tcPr>
          <w:p>
            <w:pPr>
              <w:spacing w:line="252" w:lineRule="auto" w:after="100" w:before="80"/>
              <w:jc w:val="left"/>
            </w:pPr>
            <w:r>
              <w:rPr>
                <w:rFonts w:ascii="Times New Roman" w:hAnsi="Times New Roman" w:eastAsia="Times New Roman"/>
                <w:b/>
                <w:color w:val="FFFFFF"/>
                <w:sz w:val="19"/>
              </w:rPr>
              <w:t>Datum</w:t>
            </w:r>
          </w:p>
        </w:tc>
        <w:tc>
          <w:tcPr>
            <w:tcW w:type="dxa" w:w="5400"/>
            <w:tcMar>
              <w:top w:w="95" w:type="dxa"/>
              <w:start w:w="110" w:type="dxa"/>
              <w:bottom w:w="95" w:type="dxa"/>
              <w:end w:w="110" w:type="dxa"/>
            </w:tcMar>
            <w:vAlign w:val="center"/>
            <w:shd w:fill="243B53"/>
          </w:tcPr>
          <w:p>
            <w:pPr>
              <w:spacing w:line="252" w:lineRule="auto" w:after="100" w:before="80"/>
              <w:jc w:val="left"/>
            </w:pPr>
            <w:r>
              <w:rPr>
                <w:rFonts w:ascii="Times New Roman" w:hAnsi="Times New Roman" w:eastAsia="Times New Roman"/>
                <w:b/>
                <w:color w:val="FFFFFF"/>
                <w:sz w:val="19"/>
              </w:rPr>
              <w:t>Ereignis</w:t>
            </w:r>
          </w:p>
        </w:tc>
        <w:tc>
          <w:tcPr>
            <w:tcW w:type="dxa" w:w="2592"/>
            <w:tcMar>
              <w:top w:w="95" w:type="dxa"/>
              <w:start w:w="110" w:type="dxa"/>
              <w:bottom w:w="95" w:type="dxa"/>
              <w:end w:w="110" w:type="dxa"/>
            </w:tcMar>
            <w:vAlign w:val="center"/>
            <w:shd w:fill="243B53"/>
          </w:tcPr>
          <w:p>
            <w:pPr>
              <w:spacing w:line="252" w:lineRule="auto" w:after="100" w:before="80"/>
              <w:jc w:val="left"/>
            </w:pPr>
            <w:r>
              <w:rPr>
                <w:rFonts w:ascii="Times New Roman" w:hAnsi="Times New Roman" w:eastAsia="Times New Roman"/>
                <w:b/>
                <w:color w:val="FFFFFF"/>
                <w:sz w:val="19"/>
              </w:rPr>
              <w:t>Quellenwert</w:t>
            </w:r>
          </w:p>
        </w:tc>
      </w:tr>
      <w:tr>
        <w:trPr>
          <w:cantSplit/>
        </w:trPr>
        <w:tc>
          <w:tcPr>
            <w:tcW w:type="dxa" w:w="1800"/>
            <w:tcMar>
              <w:top w:w="95" w:type="dxa"/>
              <w:start w:w="110" w:type="dxa"/>
              <w:bottom w:w="95" w:type="dxa"/>
              <w:end w:w="110" w:type="dxa"/>
            </w:tcMar>
            <w:vAlign w:val="center"/>
            <w:shd w:fill="FFFFFF"/>
          </w:tcPr>
          <w:p>
            <w:pPr>
              <w:spacing w:line="252" w:lineRule="auto" w:after="100" w:before="80"/>
              <w:jc w:val="left"/>
            </w:pPr>
            <w:r>
              <w:rPr>
                <w:rFonts w:ascii="Times New Roman" w:hAnsi="Times New Roman" w:eastAsia="Times New Roman"/>
                <w:b w:val="0"/>
                <w:color w:val="1F2933"/>
                <w:sz w:val="19"/>
              </w:rPr>
              <w:t>31 August 1904</w:t>
            </w:r>
          </w:p>
        </w:tc>
        <w:tc>
          <w:tcPr>
            <w:tcW w:type="dxa" w:w="5400"/>
            <w:tcMar>
              <w:top w:w="95" w:type="dxa"/>
              <w:start w:w="110" w:type="dxa"/>
              <w:bottom w:w="95" w:type="dxa"/>
              <w:end w:w="110" w:type="dxa"/>
            </w:tcMar>
            <w:vAlign w:val="center"/>
            <w:shd w:fill="FFFFFF"/>
          </w:tcPr>
          <w:p>
            <w:pPr>
              <w:spacing w:line="252" w:lineRule="auto" w:after="100" w:before="80"/>
              <w:jc w:val="left"/>
            </w:pPr>
            <w:r>
              <w:rPr>
                <w:rFonts w:ascii="Times New Roman" w:hAnsi="Times New Roman" w:eastAsia="Times New Roman"/>
                <w:b w:val="0"/>
                <w:color w:val="1F2933"/>
                <w:sz w:val="19"/>
              </w:rPr>
              <w:t>Heirat von N Burdette Bailey und Addie M Mentzer in Mahoning County Ohio</w:t>
            </w:r>
          </w:p>
        </w:tc>
        <w:tc>
          <w:tcPr>
            <w:tcW w:type="dxa" w:w="2592"/>
            <w:tcMar>
              <w:top w:w="95" w:type="dxa"/>
              <w:start w:w="110" w:type="dxa"/>
              <w:bottom w:w="95" w:type="dxa"/>
              <w:end w:w="110" w:type="dxa"/>
            </w:tcMar>
            <w:vAlign w:val="center"/>
            <w:shd w:fill="FFFFFF"/>
          </w:tcPr>
          <w:p>
            <w:pPr>
              <w:spacing w:line="252" w:lineRule="auto" w:after="100" w:before="80"/>
              <w:jc w:val="left"/>
            </w:pPr>
            <w:r>
              <w:rPr>
                <w:rFonts w:ascii="Times New Roman" w:hAnsi="Times New Roman" w:eastAsia="Times New Roman"/>
                <w:b w:val="0"/>
                <w:color w:val="1F2933"/>
                <w:sz w:val="19"/>
              </w:rPr>
              <w:t>Primärnaher Heiratseintrag</w:t>
            </w:r>
          </w:p>
        </w:tc>
      </w:tr>
      <w:tr>
        <w:trPr>
          <w:cantSplit/>
        </w:trPr>
        <w:tc>
          <w:tcPr>
            <w:tcW w:type="dxa" w:w="1800"/>
            <w:tcMar>
              <w:top w:w="95" w:type="dxa"/>
              <w:start w:w="110" w:type="dxa"/>
              <w:bottom w:w="95" w:type="dxa"/>
              <w:end w:w="110" w:type="dxa"/>
            </w:tcMar>
            <w:vAlign w:val="center"/>
            <w:shd w:fill="EEF4F8"/>
          </w:tcPr>
          <w:p>
            <w:pPr>
              <w:spacing w:line="252" w:lineRule="auto" w:after="100" w:before="80"/>
              <w:jc w:val="left"/>
            </w:pPr>
            <w:r>
              <w:rPr>
                <w:rFonts w:ascii="Times New Roman" w:hAnsi="Times New Roman" w:eastAsia="Times New Roman"/>
                <w:b w:val="0"/>
                <w:color w:val="1F2933"/>
                <w:sz w:val="19"/>
              </w:rPr>
              <w:t>1909</w:t>
            </w:r>
          </w:p>
        </w:tc>
        <w:tc>
          <w:tcPr>
            <w:tcW w:type="dxa" w:w="5400"/>
            <w:tcMar>
              <w:top w:w="95" w:type="dxa"/>
              <w:start w:w="110" w:type="dxa"/>
              <w:bottom w:w="95" w:type="dxa"/>
              <w:end w:w="110" w:type="dxa"/>
            </w:tcMar>
            <w:vAlign w:val="center"/>
            <w:shd w:fill="EEF4F8"/>
          </w:tcPr>
          <w:p>
            <w:pPr>
              <w:spacing w:line="252" w:lineRule="auto" w:after="100" w:before="80"/>
              <w:jc w:val="left"/>
            </w:pPr>
            <w:r>
              <w:rPr>
                <w:rFonts w:ascii="Times New Roman" w:hAnsi="Times New Roman" w:eastAsia="Times New Roman"/>
                <w:b w:val="0"/>
                <w:color w:val="1F2933"/>
                <w:sz w:val="19"/>
              </w:rPr>
              <w:t>Biografische Skizze nennt Addie Mentzer als Ehefrau</w:t>
            </w:r>
          </w:p>
        </w:tc>
        <w:tc>
          <w:tcPr>
            <w:tcW w:type="dxa" w:w="2592"/>
            <w:tcMar>
              <w:top w:w="95" w:type="dxa"/>
              <w:start w:w="110" w:type="dxa"/>
              <w:bottom w:w="95" w:type="dxa"/>
              <w:end w:w="110" w:type="dxa"/>
            </w:tcMar>
            <w:vAlign w:val="center"/>
            <w:shd w:fill="EEF4F8"/>
          </w:tcPr>
          <w:p>
            <w:pPr>
              <w:spacing w:line="252" w:lineRule="auto" w:after="100" w:before="80"/>
              <w:jc w:val="left"/>
            </w:pPr>
            <w:r>
              <w:rPr>
                <w:rFonts w:ascii="Times New Roman" w:hAnsi="Times New Roman" w:eastAsia="Times New Roman"/>
                <w:b w:val="0"/>
                <w:color w:val="1F2933"/>
                <w:sz w:val="19"/>
              </w:rPr>
              <w:t>Zeitnahe Sekundärquelle</w:t>
            </w:r>
          </w:p>
        </w:tc>
      </w:tr>
      <w:tr>
        <w:trPr>
          <w:cantSplit/>
        </w:trPr>
        <w:tc>
          <w:tcPr>
            <w:tcW w:type="dxa" w:w="1800"/>
            <w:tcMar>
              <w:top w:w="95" w:type="dxa"/>
              <w:start w:w="110" w:type="dxa"/>
              <w:bottom w:w="95" w:type="dxa"/>
              <w:end w:w="110" w:type="dxa"/>
            </w:tcMar>
            <w:vAlign w:val="center"/>
            <w:shd w:fill="FFFFFF"/>
          </w:tcPr>
          <w:p>
            <w:pPr>
              <w:spacing w:line="252" w:lineRule="auto" w:after="100" w:before="80"/>
              <w:jc w:val="left"/>
            </w:pPr>
            <w:r>
              <w:rPr>
                <w:rFonts w:ascii="Times New Roman" w:hAnsi="Times New Roman" w:eastAsia="Times New Roman"/>
                <w:b w:val="0"/>
                <w:color w:val="1F2933"/>
                <w:sz w:val="19"/>
              </w:rPr>
              <w:t>1910</w:t>
            </w:r>
          </w:p>
        </w:tc>
        <w:tc>
          <w:tcPr>
            <w:tcW w:type="dxa" w:w="5400"/>
            <w:tcMar>
              <w:top w:w="95" w:type="dxa"/>
              <w:start w:w="110" w:type="dxa"/>
              <w:bottom w:w="95" w:type="dxa"/>
              <w:end w:w="110" w:type="dxa"/>
            </w:tcMar>
            <w:vAlign w:val="center"/>
            <w:shd w:fill="FFFFFF"/>
          </w:tcPr>
          <w:p>
            <w:pPr>
              <w:spacing w:line="252" w:lineRule="auto" w:after="100" w:before="80"/>
              <w:jc w:val="left"/>
            </w:pPr>
            <w:r>
              <w:rPr>
                <w:rFonts w:ascii="Times New Roman" w:hAnsi="Times New Roman" w:eastAsia="Times New Roman"/>
                <w:b w:val="0"/>
                <w:color w:val="1F2933"/>
                <w:sz w:val="19"/>
              </w:rPr>
              <w:t>Nelson Bailey im Zensus von Youngstown Ohio; Haushalt wird genealogisch mit Addie verknüpft</w:t>
            </w:r>
          </w:p>
        </w:tc>
        <w:tc>
          <w:tcPr>
            <w:tcW w:type="dxa" w:w="2592"/>
            <w:tcMar>
              <w:top w:w="95" w:type="dxa"/>
              <w:start w:w="110" w:type="dxa"/>
              <w:bottom w:w="95" w:type="dxa"/>
              <w:end w:w="110" w:type="dxa"/>
            </w:tcMar>
            <w:vAlign w:val="center"/>
            <w:shd w:fill="FFFFFF"/>
          </w:tcPr>
          <w:p>
            <w:pPr>
              <w:spacing w:line="252" w:lineRule="auto" w:after="100" w:before="80"/>
              <w:jc w:val="left"/>
            </w:pPr>
            <w:r>
              <w:rPr>
                <w:rFonts w:ascii="Times New Roman" w:hAnsi="Times New Roman" w:eastAsia="Times New Roman"/>
                <w:b w:val="0"/>
                <w:color w:val="1F2933"/>
                <w:sz w:val="19"/>
              </w:rPr>
              <w:t>Originalzählung plus Profilverknüpfung</w:t>
            </w:r>
          </w:p>
        </w:tc>
      </w:tr>
      <w:tr>
        <w:trPr>
          <w:cantSplit/>
        </w:trPr>
        <w:tc>
          <w:tcPr>
            <w:tcW w:type="dxa" w:w="1800"/>
            <w:tcMar>
              <w:top w:w="95" w:type="dxa"/>
              <w:start w:w="110" w:type="dxa"/>
              <w:bottom w:w="95" w:type="dxa"/>
              <w:end w:w="110" w:type="dxa"/>
            </w:tcMar>
            <w:vAlign w:val="center"/>
            <w:shd w:fill="EEF4F8"/>
          </w:tcPr>
          <w:p>
            <w:pPr>
              <w:spacing w:line="252" w:lineRule="auto" w:after="100" w:before="80"/>
              <w:jc w:val="left"/>
            </w:pPr>
            <w:r>
              <w:rPr>
                <w:rFonts w:ascii="Times New Roman" w:hAnsi="Times New Roman" w:eastAsia="Times New Roman"/>
                <w:b w:val="0"/>
                <w:color w:val="1F2933"/>
                <w:sz w:val="19"/>
              </w:rPr>
              <w:t>1917</w:t>
            </w:r>
          </w:p>
        </w:tc>
        <w:tc>
          <w:tcPr>
            <w:tcW w:type="dxa" w:w="5400"/>
            <w:tcMar>
              <w:top w:w="95" w:type="dxa"/>
              <w:start w:w="110" w:type="dxa"/>
              <w:bottom w:w="95" w:type="dxa"/>
              <w:end w:w="110" w:type="dxa"/>
            </w:tcMar>
            <w:vAlign w:val="center"/>
            <w:shd w:fill="EEF4F8"/>
          </w:tcPr>
          <w:p>
            <w:pPr>
              <w:spacing w:line="252" w:lineRule="auto" w:after="100" w:before="80"/>
              <w:jc w:val="left"/>
            </w:pPr>
            <w:r>
              <w:rPr>
                <w:rFonts w:ascii="Times New Roman" w:hAnsi="Times New Roman" w:eastAsia="Times New Roman"/>
                <w:b w:val="0"/>
                <w:color w:val="1F2933"/>
                <w:sz w:val="19"/>
              </w:rPr>
              <w:t>Nelson in San Francisco unter 1301 Page</w:t>
            </w:r>
          </w:p>
        </w:tc>
        <w:tc>
          <w:tcPr>
            <w:tcW w:type="dxa" w:w="2592"/>
            <w:tcMar>
              <w:top w:w="95" w:type="dxa"/>
              <w:start w:w="110" w:type="dxa"/>
              <w:bottom w:w="95" w:type="dxa"/>
              <w:end w:w="110" w:type="dxa"/>
            </w:tcMar>
            <w:vAlign w:val="center"/>
            <w:shd w:fill="EEF4F8"/>
          </w:tcPr>
          <w:p>
            <w:pPr>
              <w:spacing w:line="252" w:lineRule="auto" w:after="100" w:before="80"/>
              <w:jc w:val="left"/>
            </w:pPr>
            <w:r>
              <w:rPr>
                <w:rFonts w:ascii="Times New Roman" w:hAnsi="Times New Roman" w:eastAsia="Times New Roman"/>
                <w:b w:val="0"/>
                <w:color w:val="1F2933"/>
                <w:sz w:val="19"/>
              </w:rPr>
              <w:t>Adressbuch</w:t>
            </w:r>
          </w:p>
        </w:tc>
      </w:tr>
      <w:tr>
        <w:trPr>
          <w:cantSplit/>
        </w:trPr>
        <w:tc>
          <w:tcPr>
            <w:tcW w:type="dxa" w:w="1800"/>
            <w:tcMar>
              <w:top w:w="95" w:type="dxa"/>
              <w:start w:w="110" w:type="dxa"/>
              <w:bottom w:w="95" w:type="dxa"/>
              <w:end w:w="110" w:type="dxa"/>
            </w:tcMar>
            <w:vAlign w:val="center"/>
            <w:shd w:fill="FFFFFF"/>
          </w:tcPr>
          <w:p>
            <w:pPr>
              <w:spacing w:line="252" w:lineRule="auto" w:after="100" w:before="80"/>
              <w:jc w:val="left"/>
            </w:pPr>
            <w:r>
              <w:rPr>
                <w:rFonts w:ascii="Times New Roman" w:hAnsi="Times New Roman" w:eastAsia="Times New Roman"/>
                <w:b w:val="0"/>
                <w:color w:val="1F2933"/>
                <w:sz w:val="19"/>
              </w:rPr>
              <w:t>1918</w:t>
            </w:r>
          </w:p>
        </w:tc>
        <w:tc>
          <w:tcPr>
            <w:tcW w:type="dxa" w:w="5400"/>
            <w:tcMar>
              <w:top w:w="95" w:type="dxa"/>
              <w:start w:w="110" w:type="dxa"/>
              <w:bottom w:w="95" w:type="dxa"/>
              <w:end w:w="110" w:type="dxa"/>
            </w:tcMar>
            <w:vAlign w:val="center"/>
            <w:shd w:fill="FFFFFF"/>
          </w:tcPr>
          <w:p>
            <w:pPr>
              <w:spacing w:line="252" w:lineRule="auto" w:after="100" w:before="80"/>
              <w:jc w:val="left"/>
            </w:pPr>
            <w:r>
              <w:rPr>
                <w:rFonts w:ascii="Times New Roman" w:hAnsi="Times New Roman" w:eastAsia="Times New Roman"/>
                <w:b w:val="0"/>
                <w:color w:val="1F2933"/>
                <w:sz w:val="19"/>
              </w:rPr>
              <w:t>Addie unter 685 Geary; Nelson unter 2026 Cabrillo</w:t>
            </w:r>
          </w:p>
        </w:tc>
        <w:tc>
          <w:tcPr>
            <w:tcW w:type="dxa" w:w="2592"/>
            <w:tcMar>
              <w:top w:w="95" w:type="dxa"/>
              <w:start w:w="110" w:type="dxa"/>
              <w:bottom w:w="95" w:type="dxa"/>
              <w:end w:w="110" w:type="dxa"/>
            </w:tcMar>
            <w:vAlign w:val="center"/>
            <w:shd w:fill="FFFFFF"/>
          </w:tcPr>
          <w:p>
            <w:pPr>
              <w:spacing w:line="252" w:lineRule="auto" w:after="100" w:before="80"/>
              <w:jc w:val="left"/>
            </w:pPr>
            <w:r>
              <w:rPr>
                <w:rFonts w:ascii="Times New Roman" w:hAnsi="Times New Roman" w:eastAsia="Times New Roman"/>
                <w:b w:val="0"/>
                <w:color w:val="1F2933"/>
                <w:sz w:val="19"/>
              </w:rPr>
              <w:t>Erster klarer Adresshinweis auf Trennung</w:t>
            </w:r>
          </w:p>
        </w:tc>
      </w:tr>
      <w:tr>
        <w:trPr>
          <w:cantSplit/>
        </w:trPr>
        <w:tc>
          <w:tcPr>
            <w:tcW w:type="dxa" w:w="1800"/>
            <w:tcMar>
              <w:top w:w="95" w:type="dxa"/>
              <w:start w:w="110" w:type="dxa"/>
              <w:bottom w:w="95" w:type="dxa"/>
              <w:end w:w="110" w:type="dxa"/>
            </w:tcMar>
            <w:vAlign w:val="center"/>
            <w:shd w:fill="EEF4F8"/>
          </w:tcPr>
          <w:p>
            <w:pPr>
              <w:spacing w:line="252" w:lineRule="auto" w:after="100" w:before="80"/>
              <w:jc w:val="left"/>
            </w:pPr>
            <w:r>
              <w:rPr>
                <w:rFonts w:ascii="Times New Roman" w:hAnsi="Times New Roman" w:eastAsia="Times New Roman"/>
                <w:b w:val="0"/>
                <w:color w:val="1F2933"/>
                <w:sz w:val="19"/>
              </w:rPr>
              <w:t>1919</w:t>
            </w:r>
          </w:p>
        </w:tc>
        <w:tc>
          <w:tcPr>
            <w:tcW w:type="dxa" w:w="5400"/>
            <w:tcMar>
              <w:top w:w="95" w:type="dxa"/>
              <w:start w:w="110" w:type="dxa"/>
              <w:bottom w:w="95" w:type="dxa"/>
              <w:end w:w="110" w:type="dxa"/>
            </w:tcMar>
            <w:vAlign w:val="center"/>
            <w:shd w:fill="EEF4F8"/>
          </w:tcPr>
          <w:p>
            <w:pPr>
              <w:spacing w:line="252" w:lineRule="auto" w:after="100" w:before="80"/>
              <w:jc w:val="left"/>
            </w:pPr>
            <w:r>
              <w:rPr>
                <w:rFonts w:ascii="Times New Roman" w:hAnsi="Times New Roman" w:eastAsia="Times New Roman"/>
                <w:b w:val="0"/>
                <w:color w:val="1F2933"/>
                <w:sz w:val="19"/>
              </w:rPr>
              <w:t>Nelson unter 1720 Broadway</w:t>
            </w:r>
          </w:p>
        </w:tc>
        <w:tc>
          <w:tcPr>
            <w:tcW w:type="dxa" w:w="2592"/>
            <w:tcMar>
              <w:top w:w="95" w:type="dxa"/>
              <w:start w:w="110" w:type="dxa"/>
              <w:bottom w:w="95" w:type="dxa"/>
              <w:end w:w="110" w:type="dxa"/>
            </w:tcMar>
            <w:vAlign w:val="center"/>
            <w:shd w:fill="EEF4F8"/>
          </w:tcPr>
          <w:p>
            <w:pPr>
              <w:spacing w:line="252" w:lineRule="auto" w:after="100" w:before="80"/>
              <w:jc w:val="left"/>
            </w:pPr>
            <w:r>
              <w:rPr>
                <w:rFonts w:ascii="Times New Roman" w:hAnsi="Times New Roman" w:eastAsia="Times New Roman"/>
                <w:b w:val="0"/>
                <w:color w:val="1F2933"/>
                <w:sz w:val="19"/>
              </w:rPr>
              <w:t>Adressbuch</w:t>
            </w:r>
          </w:p>
        </w:tc>
      </w:tr>
      <w:tr>
        <w:trPr>
          <w:cantSplit/>
        </w:trPr>
        <w:tc>
          <w:tcPr>
            <w:tcW w:type="dxa" w:w="1800"/>
            <w:tcMar>
              <w:top w:w="95" w:type="dxa"/>
              <w:start w:w="110" w:type="dxa"/>
              <w:bottom w:w="95" w:type="dxa"/>
              <w:end w:w="110" w:type="dxa"/>
            </w:tcMar>
            <w:vAlign w:val="center"/>
            <w:shd w:fill="FFFFFF"/>
          </w:tcPr>
          <w:p>
            <w:pPr>
              <w:spacing w:line="252" w:lineRule="auto" w:after="100" w:before="80"/>
              <w:jc w:val="left"/>
            </w:pPr>
            <w:r>
              <w:rPr>
                <w:rFonts w:ascii="Times New Roman" w:hAnsi="Times New Roman" w:eastAsia="Times New Roman"/>
                <w:b w:val="0"/>
                <w:color w:val="1F2933"/>
                <w:sz w:val="19"/>
              </w:rPr>
              <w:t>1920</w:t>
            </w:r>
          </w:p>
        </w:tc>
        <w:tc>
          <w:tcPr>
            <w:tcW w:type="dxa" w:w="5400"/>
            <w:tcMar>
              <w:top w:w="95" w:type="dxa"/>
              <w:start w:w="110" w:type="dxa"/>
              <w:bottom w:w="95" w:type="dxa"/>
              <w:end w:w="110" w:type="dxa"/>
            </w:tcMar>
            <w:vAlign w:val="center"/>
            <w:shd w:fill="FFFFFF"/>
          </w:tcPr>
          <w:p>
            <w:pPr>
              <w:spacing w:line="252" w:lineRule="auto" w:after="100" w:before="80"/>
              <w:jc w:val="left"/>
            </w:pPr>
            <w:r>
              <w:rPr>
                <w:rFonts w:ascii="Times New Roman" w:hAnsi="Times New Roman" w:eastAsia="Times New Roman"/>
                <w:b w:val="0"/>
                <w:color w:val="1F2933"/>
                <w:sz w:val="19"/>
              </w:rPr>
              <w:t>Addie: 685 Geary. Einträge Nelson B. Bailey und Maude B. Watson: 1143 Larkin.</w:t>
            </w:r>
          </w:p>
        </w:tc>
        <w:tc>
          <w:tcPr>
            <w:tcW w:type="dxa" w:w="2592"/>
            <w:tcMar>
              <w:top w:w="95" w:type="dxa"/>
              <w:start w:w="110" w:type="dxa"/>
              <w:bottom w:w="95" w:type="dxa"/>
              <w:end w:w="110" w:type="dxa"/>
            </w:tcMar>
            <w:vAlign w:val="center"/>
            <w:shd w:fill="FFFFFF"/>
          </w:tcPr>
          <w:p>
            <w:pPr>
              <w:spacing w:line="252" w:lineRule="auto" w:after="100" w:before="80"/>
              <w:jc w:val="left"/>
            </w:pPr>
            <w:r>
              <w:rPr>
                <w:rFonts w:ascii="Times New Roman" w:hAnsi="Times New Roman" w:eastAsia="Times New Roman"/>
                <w:b w:val="0"/>
                <w:color w:val="1F2933"/>
                <w:sz w:val="19"/>
              </w:rPr>
              <w:t>Identitätsabgleich offen; Firmenzusatz Smith &amp; Bailey. [7]</w:t>
            </w:r>
          </w:p>
        </w:tc>
      </w:tr>
      <w:tr>
        <w:trPr>
          <w:cantSplit/>
        </w:trPr>
        <w:tc>
          <w:tcPr>
            <w:tcW w:type="dxa" w:w="1800"/>
            <w:tcMar>
              <w:top w:w="95" w:type="dxa"/>
              <w:start w:w="110" w:type="dxa"/>
              <w:bottom w:w="95" w:type="dxa"/>
              <w:end w:w="110" w:type="dxa"/>
            </w:tcMar>
            <w:vAlign w:val="center"/>
            <w:shd w:fill="EEF4F8"/>
          </w:tcPr>
          <w:p>
            <w:pPr>
              <w:spacing w:line="252" w:lineRule="auto" w:after="100" w:before="80"/>
              <w:jc w:val="left"/>
            </w:pPr>
            <w:r>
              <w:rPr>
                <w:rFonts w:ascii="Times New Roman" w:hAnsi="Times New Roman" w:eastAsia="Times New Roman"/>
                <w:b w:val="0"/>
                <w:color w:val="1F2933"/>
                <w:sz w:val="19"/>
              </w:rPr>
              <w:t>1921</w:t>
            </w:r>
          </w:p>
        </w:tc>
        <w:tc>
          <w:tcPr>
            <w:tcW w:type="dxa" w:w="5400"/>
            <w:tcMar>
              <w:top w:w="95" w:type="dxa"/>
              <w:start w:w="110" w:type="dxa"/>
              <w:bottom w:w="95" w:type="dxa"/>
              <w:end w:w="110" w:type="dxa"/>
            </w:tcMar>
            <w:vAlign w:val="center"/>
            <w:shd w:fill="EEF4F8"/>
          </w:tcPr>
          <w:p>
            <w:pPr>
              <w:spacing w:line="252" w:lineRule="auto" w:after="100" w:before="80"/>
              <w:jc w:val="left"/>
            </w:pPr>
            <w:r>
              <w:rPr>
                <w:rFonts w:ascii="Times New Roman" w:hAnsi="Times New Roman" w:eastAsia="Times New Roman"/>
                <w:b w:val="0"/>
                <w:color w:val="1F2933"/>
                <w:sz w:val="19"/>
              </w:rPr>
              <w:t>Addie: 685 Geary. Ein Nelson B. Bailey: 3 Clement, ohne Beruf.</w:t>
            </w:r>
          </w:p>
        </w:tc>
        <w:tc>
          <w:tcPr>
            <w:tcW w:type="dxa" w:w="2592"/>
            <w:tcMar>
              <w:top w:w="95" w:type="dxa"/>
              <w:start w:w="110" w:type="dxa"/>
              <w:bottom w:w="95" w:type="dxa"/>
              <w:end w:w="110" w:type="dxa"/>
            </w:tcMar>
            <w:vAlign w:val="center"/>
            <w:shd w:fill="EEF4F8"/>
          </w:tcPr>
          <w:p>
            <w:pPr>
              <w:spacing w:line="252" w:lineRule="auto" w:after="100" w:before="80"/>
              <w:jc w:val="left"/>
            </w:pPr>
            <w:r>
              <w:rPr>
                <w:rFonts w:ascii="Times New Roman" w:hAnsi="Times New Roman" w:eastAsia="Times New Roman"/>
                <w:b w:val="0"/>
                <w:color w:val="1F2933"/>
                <w:sz w:val="19"/>
              </w:rPr>
              <w:t>Adressbucheintrag; Identität nicht zusätzlich abgesichert. [8]</w:t>
            </w:r>
          </w:p>
        </w:tc>
      </w:tr>
      <w:tr>
        <w:trPr>
          <w:cantSplit/>
        </w:trPr>
        <w:tc>
          <w:tcPr>
            <w:tcW w:type="dxa" w:w="1800"/>
            <w:tcMar>
              <w:top w:w="95" w:type="dxa"/>
              <w:start w:w="110" w:type="dxa"/>
              <w:bottom w:w="95" w:type="dxa"/>
              <w:end w:w="110" w:type="dxa"/>
            </w:tcMar>
            <w:vAlign w:val="center"/>
            <w:shd w:fill="FFFFFF"/>
          </w:tcPr>
          <w:p>
            <w:pPr>
              <w:spacing w:line="252" w:lineRule="auto" w:after="100" w:before="80"/>
              <w:jc w:val="left"/>
            </w:pPr>
            <w:r>
              <w:rPr>
                <w:rFonts w:ascii="Times New Roman" w:hAnsi="Times New Roman" w:eastAsia="Times New Roman"/>
                <w:b w:val="0"/>
                <w:color w:val="1F2933"/>
                <w:sz w:val="19"/>
              </w:rPr>
              <w:t>6 November 1921</w:t>
            </w:r>
          </w:p>
        </w:tc>
        <w:tc>
          <w:tcPr>
            <w:tcW w:type="dxa" w:w="5400"/>
            <w:tcMar>
              <w:top w:w="95" w:type="dxa"/>
              <w:start w:w="110" w:type="dxa"/>
              <w:bottom w:w="95" w:type="dxa"/>
              <w:end w:w="110" w:type="dxa"/>
            </w:tcMar>
            <w:vAlign w:val="center"/>
            <w:shd w:fill="FFFFFF"/>
          </w:tcPr>
          <w:p>
            <w:pPr>
              <w:spacing w:line="252" w:lineRule="auto" w:after="100" w:before="80"/>
              <w:jc w:val="left"/>
            </w:pPr>
            <w:r>
              <w:rPr>
                <w:rFonts w:ascii="Times New Roman" w:hAnsi="Times New Roman" w:eastAsia="Times New Roman"/>
                <w:b w:val="0"/>
                <w:color w:val="1F2933"/>
                <w:sz w:val="19"/>
              </w:rPr>
              <w:t>Heirat von Nelson Burdette Bailey und Maude Burrell Watson in San Francisco</w:t>
            </w:r>
          </w:p>
        </w:tc>
        <w:tc>
          <w:tcPr>
            <w:tcW w:type="dxa" w:w="2592"/>
            <w:tcMar>
              <w:top w:w="95" w:type="dxa"/>
              <w:start w:w="110" w:type="dxa"/>
              <w:bottom w:w="95" w:type="dxa"/>
              <w:end w:w="110" w:type="dxa"/>
            </w:tcMar>
            <w:vAlign w:val="center"/>
            <w:shd w:fill="FFFFFF"/>
          </w:tcPr>
          <w:p>
            <w:pPr>
              <w:spacing w:line="252" w:lineRule="auto" w:after="100" w:before="80"/>
              <w:jc w:val="left"/>
            </w:pPr>
            <w:r>
              <w:rPr>
                <w:rFonts w:ascii="Times New Roman" w:hAnsi="Times New Roman" w:eastAsia="Times New Roman"/>
                <w:b w:val="0"/>
                <w:color w:val="1F2933"/>
                <w:sz w:val="19"/>
              </w:rPr>
              <w:t>Amtlicher Heiratseintrag</w:t>
            </w:r>
          </w:p>
        </w:tc>
      </w:tr>
      <w:tr>
        <w:tc>
          <w:tcPr>
            <w:tcW w:type="dxa" w:w="3264"/>
          </w:tcPr>
          <w:p>
            <w:pPr>
              <w:spacing w:after="80"/>
            </w:pPr>
            <w:r>
              <w:rPr>
                <w:rFonts w:ascii="Times New Roman" w:hAnsi="Times New Roman"/>
                <w:sz w:val="20"/>
              </w:rPr>
              <w:t>1922</w:t>
            </w:r>
          </w:p>
        </w:tc>
        <w:tc>
          <w:tcPr>
            <w:tcW w:type="dxa" w:w="3264"/>
          </w:tcPr>
          <w:p>
            <w:pPr>
              <w:spacing w:after="80"/>
            </w:pPr>
            <w:r>
              <w:rPr>
                <w:rFonts w:ascii="Times New Roman" w:hAnsi="Times New Roman"/>
                <w:sz w:val="20"/>
              </w:rPr>
              <w:t>Nelson B. Bailey als Musiklehrer unter 560 Geary</w:t>
            </w:r>
          </w:p>
        </w:tc>
        <w:tc>
          <w:tcPr>
            <w:tcW w:type="dxa" w:w="3264"/>
          </w:tcPr>
          <w:p>
            <w:pPr>
              <w:spacing w:after="80"/>
            </w:pPr>
            <w:r>
              <w:rPr>
                <w:rFonts w:ascii="Times New Roman" w:hAnsi="Times New Roman"/>
                <w:sz w:val="20"/>
              </w:rPr>
              <w:t>Originalseitenbild geprüft; kein Rückbeweis für Larkin 1920. [54]</w:t>
            </w:r>
          </w:p>
        </w:tc>
      </w:tr>
      <w:tr>
        <w:tc>
          <w:tcPr>
            <w:tcW w:type="dxa" w:w="3264"/>
          </w:tcPr>
          <w:p>
            <w:pPr>
              <w:spacing w:after="80"/>
            </w:pPr>
            <w:r>
              <w:rPr>
                <w:rFonts w:ascii="Times New Roman" w:hAnsi="Times New Roman"/>
                <w:sz w:val="20"/>
              </w:rPr>
              <w:t>1923</w:t>
            </w:r>
          </w:p>
        </w:tc>
        <w:tc>
          <w:tcPr>
            <w:tcW w:type="dxa" w:w="3264"/>
          </w:tcPr>
          <w:p>
            <w:pPr>
              <w:spacing w:after="80"/>
            </w:pPr>
            <w:r>
              <w:rPr>
                <w:rFonts w:ascii="Times New Roman" w:hAnsi="Times New Roman"/>
                <w:sz w:val="20"/>
              </w:rPr>
              <w:t>N. B. Bailey, 560 Geary, unter Teachers—Music</w:t>
            </w:r>
          </w:p>
        </w:tc>
        <w:tc>
          <w:tcPr>
            <w:tcW w:type="dxa" w:w="3264"/>
          </w:tcPr>
          <w:p>
            <w:pPr>
              <w:spacing w:after="80"/>
            </w:pPr>
            <w:r>
              <w:rPr>
                <w:rFonts w:ascii="Times New Roman" w:hAnsi="Times New Roman"/>
                <w:sz w:val="20"/>
              </w:rPr>
              <w:t>Originalseitenbild geprüft; bestätigt musikalisches Berufsfeld. [55]</w:t>
            </w:r>
          </w:p>
        </w:tc>
      </w:tr>
      <w:tr>
        <w:trPr>
          <w:cantSplit/>
        </w:trPr>
        <w:tc>
          <w:tcPr>
            <w:tcW w:type="dxa" w:w="1800"/>
            <w:tcMar>
              <w:top w:w="95" w:type="dxa"/>
              <w:start w:w="110" w:type="dxa"/>
              <w:bottom w:w="95" w:type="dxa"/>
              <w:end w:w="110" w:type="dxa"/>
            </w:tcMar>
            <w:vAlign w:val="center"/>
            <w:shd w:fill="EEF4F8"/>
          </w:tcPr>
          <w:p>
            <w:pPr>
              <w:spacing w:after="100" w:line="252" w:lineRule="auto" w:before="80"/>
            </w:pPr>
            <w:r>
              <w:rPr>
                <w:sz w:val="19"/>
              </w:rPr>
            </w:r>
            <w:r>
              <w:rPr>
                <w:rFonts w:ascii="Aptos" w:hAnsi="Aptos"/>
                <w:b w:val="0"/>
                <w:sz w:val="19"/>
              </w:rPr>
              <w:t>1948 oder 1949</w:t>
            </w:r>
          </w:p>
        </w:tc>
        <w:tc>
          <w:tcPr>
            <w:tcW w:type="dxa" w:w="5400"/>
            <w:tcMar>
              <w:top w:w="95" w:type="dxa"/>
              <w:start w:w="110" w:type="dxa"/>
              <w:bottom w:w="95" w:type="dxa"/>
              <w:end w:w="110" w:type="dxa"/>
            </w:tcMar>
            <w:vAlign w:val="center"/>
            <w:shd w:fill="EEF4F8"/>
          </w:tcPr>
          <w:p>
            <w:pPr>
              <w:spacing w:after="100" w:line="252" w:lineRule="auto" w:before="80"/>
            </w:pPr>
            <w:r>
              <w:rPr>
                <w:sz w:val="19"/>
              </w:rPr>
            </w:r>
            <w:r>
              <w:rPr>
                <w:rFonts w:ascii="Aptos" w:hAnsi="Aptos"/>
                <w:b w:val="0"/>
                <w:sz w:val="19"/>
              </w:rPr>
              <w:t>Früher angenommene letzte Spur Addies unter 685 Geary</w:t>
            </w:r>
          </w:p>
        </w:tc>
        <w:tc>
          <w:tcPr>
            <w:tcW w:type="dxa" w:w="2592"/>
            <w:tcMar>
              <w:top w:w="95" w:type="dxa"/>
              <w:start w:w="110" w:type="dxa"/>
              <w:bottom w:w="95" w:type="dxa"/>
              <w:end w:w="110" w:type="dxa"/>
            </w:tcMar>
            <w:vAlign w:val="center"/>
            <w:shd w:fill="EEF4F8"/>
          </w:tcPr>
          <w:p>
            <w:pPr>
              <w:spacing w:after="100" w:line="252" w:lineRule="auto" w:before="80"/>
            </w:pPr>
            <w:r>
              <w:rPr>
                <w:sz w:val="19"/>
              </w:rPr>
            </w:r>
            <w:r>
              <w:rPr>
                <w:rFonts w:ascii="Aptos" w:hAnsi="Aptos"/>
                <w:b w:val="0"/>
                <w:sz w:val="19"/>
              </w:rPr>
              <w:t>Durch spätere Adressbücher überholt</w:t>
            </w:r>
          </w:p>
        </w:tc>
      </w:tr>
      <w:tr>
        <w:trPr>
          <w:cantSplit/>
        </w:trPr>
        <w:tc>
          <w:tcPr>
            <w:tcW w:type="dxa" w:w="1800"/>
            <w:tcMar>
              <w:top w:w="95" w:type="dxa"/>
              <w:start w:w="110" w:type="dxa"/>
              <w:bottom w:w="95" w:type="dxa"/>
              <w:end w:w="110" w:type="dxa"/>
            </w:tcMar>
            <w:vAlign w:val="center"/>
            <w:shd w:fill="FFFFFF"/>
          </w:tcPr>
          <w:p>
            <w:pPr>
              <w:spacing w:after="100" w:line="252" w:lineRule="auto" w:before="80"/>
            </w:pPr>
            <w:r>
              <w:rPr>
                <w:sz w:val="19"/>
              </w:rPr>
            </w:r>
            <w:r>
              <w:rPr>
                <w:rFonts w:ascii="Aptos" w:hAnsi="Aptos"/>
                <w:b w:val="0"/>
                <w:sz w:val="19"/>
              </w:rPr>
              <w:t>April 1950</w:t>
            </w:r>
          </w:p>
        </w:tc>
        <w:tc>
          <w:tcPr>
            <w:tcW w:type="dxa" w:w="5400"/>
            <w:tcMar>
              <w:top w:w="95" w:type="dxa"/>
              <w:start w:w="110" w:type="dxa"/>
              <w:bottom w:w="95" w:type="dxa"/>
              <w:end w:w="110" w:type="dxa"/>
            </w:tcMar>
            <w:vAlign w:val="center"/>
            <w:shd w:fill="FFFFFF"/>
          </w:tcPr>
          <w:p>
            <w:pPr>
              <w:spacing w:after="100" w:line="252" w:lineRule="auto" w:before="80"/>
            </w:pPr>
            <w:r>
              <w:rPr>
                <w:sz w:val="19"/>
              </w:rPr>
            </w:r>
            <w:r>
              <w:rPr>
                <w:rFonts w:ascii="Aptos" w:hAnsi="Aptos"/>
                <w:b w:val="0"/>
                <w:sz w:val="19"/>
              </w:rPr>
              <w:t>Addie im geprüften Zensusbestand des Gebäudes 685 Geary nicht gefunden</w:t>
            </w:r>
          </w:p>
        </w:tc>
        <w:tc>
          <w:tcPr>
            <w:tcW w:type="dxa" w:w="2592"/>
            <w:tcMar>
              <w:top w:w="95" w:type="dxa"/>
              <w:start w:w="110" w:type="dxa"/>
              <w:bottom w:w="95" w:type="dxa"/>
              <w:end w:w="110" w:type="dxa"/>
            </w:tcMar>
            <w:vAlign w:val="center"/>
            <w:shd w:fill="FFFFFF"/>
          </w:tcPr>
          <w:p>
            <w:pPr>
              <w:spacing w:after="100" w:line="252" w:lineRule="auto" w:before="80"/>
            </w:pPr>
            <w:r>
              <w:rPr>
                <w:sz w:val="19"/>
              </w:rPr>
            </w:r>
            <w:r>
              <w:rPr>
                <w:rFonts w:ascii="Aptos" w:hAnsi="Aptos"/>
                <w:b w:val="0"/>
                <w:sz w:val="19"/>
              </w:rPr>
              <w:t>Isolierter Negativbefund; kein Endpunkt</w:t>
            </w:r>
          </w:p>
        </w:tc>
      </w:tr>
      <w:tr>
        <w:trPr>
          <w:cantSplit/>
        </w:trPr>
        <w:tc>
          <w:tcPr>
            <w:tcW w:type="dxa" w:w="1800"/>
            <w:tcMar>
              <w:top w:w="95" w:type="dxa"/>
              <w:start w:w="110" w:type="dxa"/>
              <w:bottom w:w="95" w:type="dxa"/>
              <w:end w:w="110" w:type="dxa"/>
            </w:tcMar>
            <w:vAlign w:val="center"/>
            <w:shd w:fill="EEF4F8"/>
          </w:tcPr>
          <w:p>
            <w:pPr>
              <w:spacing w:after="100" w:line="252" w:lineRule="auto" w:before="80"/>
            </w:pPr>
            <w:r>
              <w:rPr>
                <w:sz w:val="19"/>
              </w:rPr>
            </w:r>
            <w:r>
              <w:rPr>
                <w:rFonts w:ascii="Aptos" w:hAnsi="Aptos"/>
                <w:b w:val="0"/>
                <w:sz w:val="19"/>
              </w:rPr>
              <w:t>1951</w:t>
            </w:r>
          </w:p>
        </w:tc>
        <w:tc>
          <w:tcPr>
            <w:tcW w:type="dxa" w:w="5400"/>
            <w:tcMar>
              <w:top w:w="95" w:type="dxa"/>
              <w:start w:w="110" w:type="dxa"/>
              <w:bottom w:w="95" w:type="dxa"/>
              <w:end w:w="110" w:type="dxa"/>
            </w:tcMar>
            <w:vAlign w:val="center"/>
            <w:shd w:fill="EEF4F8"/>
          </w:tcPr>
          <w:p>
            <w:pPr>
              <w:spacing w:after="100" w:line="252" w:lineRule="auto" w:before="80"/>
            </w:pPr>
            <w:r>
              <w:rPr>
                <w:sz w:val="19"/>
              </w:rPr>
            </w:r>
            <w:r>
              <w:rPr>
                <w:rFonts w:ascii="Aptos" w:hAnsi="Aptos"/>
                <w:b w:val="0"/>
                <w:sz w:val="19"/>
              </w:rPr>
              <w:t>Kein Addie- oder Adelaide-Bailey-Eintrag im geprüften Bailey-Abschnitt</w:t>
            </w:r>
          </w:p>
        </w:tc>
        <w:tc>
          <w:tcPr>
            <w:tcW w:type="dxa" w:w="2592"/>
            <w:tcMar>
              <w:top w:w="95" w:type="dxa"/>
              <w:start w:w="110" w:type="dxa"/>
              <w:bottom w:w="95" w:type="dxa"/>
              <w:end w:w="110" w:type="dxa"/>
            </w:tcMar>
            <w:vAlign w:val="center"/>
            <w:shd w:fill="EEF4F8"/>
          </w:tcPr>
          <w:p>
            <w:pPr>
              <w:spacing w:after="100" w:line="252" w:lineRule="auto" w:before="80"/>
            </w:pPr>
            <w:r>
              <w:rPr>
                <w:sz w:val="19"/>
              </w:rPr>
            </w:r>
            <w:r>
              <w:rPr>
                <w:rFonts w:ascii="Aptos" w:hAnsi="Aptos"/>
                <w:b w:val="0"/>
                <w:sz w:val="19"/>
              </w:rPr>
              <w:t>Isolierter Negativbefund</w:t>
            </w:r>
          </w:p>
        </w:tc>
      </w:tr>
      <w:tr>
        <w:trPr>
          <w:cantSplit/>
        </w:trPr>
        <w:tc>
          <w:tcPr>
            <w:tcW w:type="dxa" w:w="1800"/>
            <w:tcMar>
              <w:top w:w="75" w:type="dxa"/>
              <w:start w:w="110" w:type="dxa"/>
              <w:bottom w:w="75" w:type="dxa"/>
              <w:end w:w="110" w:type="dxa"/>
              <w:left w:w="75" w:type="dxa"/>
              <w:right w:w="75" w:type="dxa"/>
            </w:tcMar>
            <w:vAlign w:val="center"/>
            <w:shd w:fill="EEF4F8"/>
          </w:tcPr>
          <w:p>
            <w:pPr>
              <w:spacing w:after="100" w:line="252" w:lineRule="auto" w:before="80"/>
            </w:pPr>
            <w:r>
              <w:rPr>
                <w:sz w:val="19"/>
              </w:rPr>
            </w:r>
            <w:r>
              <w:rPr>
                <w:rFonts w:ascii="Aptos" w:hAnsi="Aptos"/>
                <w:b w:val="0"/>
                <w:sz w:val="19"/>
              </w:rPr>
              <w:t>1954 und 1957</w:t>
            </w:r>
          </w:p>
        </w:tc>
        <w:tc>
          <w:tcPr>
            <w:tcW w:type="dxa" w:w="5400"/>
            <w:tcMar>
              <w:top w:w="75" w:type="dxa"/>
              <w:start w:w="110" w:type="dxa"/>
              <w:bottom w:w="75" w:type="dxa"/>
              <w:end w:w="110" w:type="dxa"/>
              <w:left w:w="75" w:type="dxa"/>
              <w:right w:w="75" w:type="dxa"/>
            </w:tcMar>
            <w:vAlign w:val="center"/>
            <w:shd w:fill="EEF4F8"/>
          </w:tcPr>
          <w:p>
            <w:pPr>
              <w:spacing w:after="100" w:line="252" w:lineRule="auto" w:before="80"/>
            </w:pPr>
            <w:r>
              <w:rPr>
                <w:sz w:val="19"/>
              </w:rPr>
            </w:r>
            <w:r>
              <w:rPr>
                <w:rFonts w:ascii="Aptos" w:hAnsi="Aptos"/>
                <w:b w:val="0"/>
                <w:sz w:val="19"/>
              </w:rPr>
              <w:t>Addie M. Bailey, 685 Geary, Apartment 305; Telefon PR 5-8315</w:t>
            </w:r>
          </w:p>
        </w:tc>
        <w:tc>
          <w:tcPr>
            <w:tcW w:type="dxa" w:w="2592"/>
            <w:tcMar>
              <w:top w:w="75" w:type="dxa"/>
              <w:start w:w="110" w:type="dxa"/>
              <w:bottom w:w="75" w:type="dxa"/>
              <w:end w:w="110" w:type="dxa"/>
              <w:left w:w="75" w:type="dxa"/>
              <w:right w:w="75" w:type="dxa"/>
            </w:tcMar>
            <w:vAlign w:val="center"/>
            <w:shd w:fill="EEF4F8"/>
          </w:tcPr>
          <w:p>
            <w:pPr>
              <w:spacing w:after="100" w:line="252" w:lineRule="auto" w:before="80"/>
            </w:pPr>
            <w:r>
              <w:rPr>
                <w:sz w:val="19"/>
              </w:rPr>
            </w:r>
            <w:r>
              <w:rPr>
                <w:rFonts w:ascii="Aptos" w:hAnsi="Aptos"/>
                <w:b w:val="0"/>
                <w:sz w:val="19"/>
              </w:rPr>
              <w:t>Positive Adressbucheinträge</w:t>
            </w:r>
          </w:p>
        </w:tc>
      </w:tr>
      <w:tr>
        <w:trPr>
          <w:cantSplit/>
        </w:trPr>
        <w:tc>
          <w:tcPr>
            <w:tcW w:type="dxa" w:w="1800"/>
            <w:tcMar>
              <w:top w:w="75" w:type="dxa"/>
              <w:start w:w="110" w:type="dxa"/>
              <w:bottom w:w="75" w:type="dxa"/>
              <w:end w:w="110" w:type="dxa"/>
              <w:left w:w="75" w:type="dxa"/>
              <w:right w:w="75" w:type="dxa"/>
            </w:tcMar>
            <w:vAlign w:val="center"/>
            <w:shd w:fill="EEF4F8"/>
          </w:tcPr>
          <w:p>
            <w:pPr>
              <w:spacing w:after="100" w:line="252" w:lineRule="auto" w:before="80"/>
            </w:pPr>
            <w:r>
              <w:rPr>
                <w:sz w:val="19"/>
              </w:rPr>
            </w:r>
            <w:r>
              <w:rPr>
                <w:rFonts w:ascii="Aptos" w:hAnsi="Aptos"/>
                <w:b w:val="0"/>
                <w:sz w:val="19"/>
              </w:rPr>
              <w:t>1959 und 1961</w:t>
            </w:r>
          </w:p>
        </w:tc>
        <w:tc>
          <w:tcPr>
            <w:tcW w:type="dxa" w:w="5400"/>
            <w:tcMar>
              <w:top w:w="75" w:type="dxa"/>
              <w:start w:w="110" w:type="dxa"/>
              <w:bottom w:w="75" w:type="dxa"/>
              <w:end w:w="110" w:type="dxa"/>
              <w:left w:w="75" w:type="dxa"/>
              <w:right w:w="75" w:type="dxa"/>
            </w:tcMar>
            <w:vAlign w:val="center"/>
            <w:shd w:fill="EEF4F8"/>
          </w:tcPr>
          <w:p>
            <w:pPr>
              <w:spacing w:after="100" w:line="252" w:lineRule="auto" w:before="80"/>
            </w:pPr>
            <w:r>
              <w:rPr>
                <w:sz w:val="19"/>
              </w:rPr>
            </w:r>
            <w:r>
              <w:rPr>
                <w:rFonts w:ascii="Aptos" w:hAnsi="Aptos"/>
                <w:b w:val="0"/>
                <w:sz w:val="19"/>
              </w:rPr>
              <w:t>Addie M. Bailey weiterhin unter 685 Geary, Apartment 305</w:t>
            </w:r>
          </w:p>
        </w:tc>
        <w:tc>
          <w:tcPr>
            <w:tcW w:type="dxa" w:w="2592"/>
            <w:tcMar>
              <w:top w:w="75" w:type="dxa"/>
              <w:start w:w="110" w:type="dxa"/>
              <w:bottom w:w="75" w:type="dxa"/>
              <w:end w:w="110" w:type="dxa"/>
              <w:left w:w="75" w:type="dxa"/>
              <w:right w:w="75" w:type="dxa"/>
            </w:tcMar>
            <w:vAlign w:val="center"/>
            <w:shd w:fill="EEF4F8"/>
          </w:tcPr>
          <w:p>
            <w:pPr>
              <w:spacing w:after="100" w:line="252" w:lineRule="auto" w:before="80"/>
            </w:pPr>
            <w:r>
              <w:rPr>
                <w:sz w:val="19"/>
              </w:rPr>
            </w:r>
            <w:r>
              <w:rPr>
                <w:rFonts w:ascii="Aptos" w:hAnsi="Aptos"/>
                <w:b w:val="0"/>
                <w:sz w:val="19"/>
              </w:rPr>
              <w:t>Alphabetisches und Straßenverzeichnis</w:t>
            </w:r>
          </w:p>
        </w:tc>
      </w:tr>
      <w:tr>
        <w:trPr>
          <w:cantSplit/>
        </w:trPr>
        <w:tc>
          <w:tcPr>
            <w:tcW w:type="dxa" w:w="1800"/>
            <w:tcMar>
              <w:top w:w="75" w:type="dxa"/>
              <w:start w:w="110" w:type="dxa"/>
              <w:bottom w:w="75" w:type="dxa"/>
              <w:end w:w="110" w:type="dxa"/>
              <w:left w:w="75" w:type="dxa"/>
              <w:right w:w="75" w:type="dxa"/>
            </w:tcMar>
            <w:vAlign w:val="center"/>
            <w:shd w:fill="EEF4F8"/>
          </w:tcPr>
          <w:p>
            <w:pPr>
              <w:spacing w:after="100" w:line="252" w:lineRule="auto" w:before="80"/>
            </w:pPr>
            <w:r>
              <w:rPr>
                <w:sz w:val="19"/>
              </w:rPr>
            </w:r>
            <w:r>
              <w:rPr>
                <w:rFonts w:ascii="Aptos" w:hAnsi="Aptos"/>
                <w:b w:val="0"/>
                <w:sz w:val="19"/>
              </w:rPr>
              <w:t>1962</w:t>
            </w:r>
          </w:p>
        </w:tc>
        <w:tc>
          <w:tcPr>
            <w:tcW w:type="dxa" w:w="5400"/>
            <w:tcMar>
              <w:top w:w="75" w:type="dxa"/>
              <w:start w:w="110" w:type="dxa"/>
              <w:bottom w:w="75" w:type="dxa"/>
              <w:end w:w="110" w:type="dxa"/>
              <w:left w:w="75" w:type="dxa"/>
              <w:right w:w="75" w:type="dxa"/>
            </w:tcMar>
            <w:vAlign w:val="center"/>
            <w:shd w:fill="EEF4F8"/>
          </w:tcPr>
          <w:p>
            <w:pPr>
              <w:spacing w:after="100" w:line="252" w:lineRule="auto" w:before="80"/>
            </w:pPr>
            <w:r>
              <w:rPr>
                <w:sz w:val="19"/>
              </w:rPr>
            </w:r>
            <w:r>
              <w:rPr>
                <w:rFonts w:ascii="Aptos" w:hAnsi="Aptos"/>
                <w:b w:val="0"/>
                <w:sz w:val="19"/>
              </w:rPr>
              <w:t>Addie M. Bailey unter 685 Geary, Apartment 305</w:t>
            </w:r>
          </w:p>
        </w:tc>
        <w:tc>
          <w:tcPr>
            <w:tcW w:type="dxa" w:w="2592"/>
            <w:tcMar>
              <w:top w:w="75" w:type="dxa"/>
              <w:start w:w="110" w:type="dxa"/>
              <w:bottom w:w="75" w:type="dxa"/>
              <w:end w:w="110" w:type="dxa"/>
              <w:left w:w="75" w:type="dxa"/>
              <w:right w:w="75" w:type="dxa"/>
            </w:tcMar>
            <w:vAlign w:val="center"/>
            <w:shd w:fill="EEF4F8"/>
          </w:tcPr>
          <w:p>
            <w:pPr>
              <w:spacing w:after="100" w:line="252" w:lineRule="auto" w:before="80"/>
            </w:pPr>
            <w:r>
              <w:rPr>
                <w:sz w:val="19"/>
              </w:rPr>
            </w:r>
            <w:r>
              <w:rPr>
                <w:rFonts w:ascii="Aptos" w:hAnsi="Aptos"/>
                <w:b w:val="0"/>
                <w:sz w:val="19"/>
              </w:rPr>
              <w:t>Positiver Adressbucheintrag</w:t>
            </w:r>
          </w:p>
        </w:tc>
      </w:tr>
      <w:tr>
        <w:trPr>
          <w:cantSplit/>
        </w:trPr>
        <w:tc>
          <w:tcPr>
            <w:tcW w:type="dxa" w:w="1800"/>
            <w:tcMar>
              <w:top w:w="75" w:type="dxa"/>
              <w:start w:w="110" w:type="dxa"/>
              <w:bottom w:w="75" w:type="dxa"/>
              <w:end w:w="110" w:type="dxa"/>
              <w:left w:w="75" w:type="dxa"/>
              <w:right w:w="75" w:type="dxa"/>
            </w:tcMar>
            <w:vAlign w:val="center"/>
            <w:shd w:fill="EEF4F8"/>
          </w:tcPr>
          <w:p>
            <w:pPr>
              <w:spacing w:after="100" w:line="252" w:lineRule="auto" w:before="80"/>
            </w:pPr>
            <w:r>
              <w:rPr>
                <w:sz w:val="19"/>
              </w:rPr>
            </w:r>
            <w:r>
              <w:rPr>
                <w:rFonts w:ascii="Aptos" w:hAnsi="Aptos"/>
                <w:b w:val="0"/>
                <w:sz w:val="19"/>
              </w:rPr>
              <w:t>1964 bis 1966</w:t>
            </w:r>
          </w:p>
        </w:tc>
        <w:tc>
          <w:tcPr>
            <w:tcW w:type="dxa" w:w="5400"/>
            <w:tcMar>
              <w:top w:w="75" w:type="dxa"/>
              <w:start w:w="110" w:type="dxa"/>
              <w:bottom w:w="75" w:type="dxa"/>
              <w:end w:w="110" w:type="dxa"/>
              <w:left w:w="75" w:type="dxa"/>
              <w:right w:w="75" w:type="dxa"/>
            </w:tcMar>
            <w:vAlign w:val="center"/>
            <w:shd w:fill="EEF4F8"/>
          </w:tcPr>
          <w:p>
            <w:pPr>
              <w:spacing w:after="100" w:line="252" w:lineRule="auto" w:before="80"/>
            </w:pPr>
            <w:r>
              <w:rPr>
                <w:sz w:val="19"/>
              </w:rPr>
            </w:r>
            <w:r>
              <w:rPr>
                <w:rFonts w:ascii="Aptos" w:hAnsi="Aptos"/>
                <w:b w:val="0"/>
                <w:sz w:val="19"/>
              </w:rPr>
              <w:t>Addie M. Bailey, im Ruhestand, unter 685 Geary, Apartment 305</w:t>
            </w:r>
          </w:p>
        </w:tc>
        <w:tc>
          <w:tcPr>
            <w:tcW w:type="dxa" w:w="2592"/>
            <w:tcMar>
              <w:top w:w="75" w:type="dxa"/>
              <w:start w:w="110" w:type="dxa"/>
              <w:bottom w:w="75" w:type="dxa"/>
              <w:end w:w="110" w:type="dxa"/>
              <w:left w:w="75" w:type="dxa"/>
              <w:right w:w="75" w:type="dxa"/>
            </w:tcMar>
            <w:vAlign w:val="center"/>
            <w:shd w:fill="EEF4F8"/>
          </w:tcPr>
          <w:p>
            <w:pPr>
              <w:spacing w:after="100" w:line="252" w:lineRule="auto" w:before="80"/>
            </w:pPr>
            <w:r>
              <w:rPr>
                <w:sz w:val="19"/>
              </w:rPr>
            </w:r>
            <w:r>
              <w:rPr>
                <w:rFonts w:ascii="Aptos" w:hAnsi="Aptos"/>
                <w:b w:val="0"/>
                <w:sz w:val="19"/>
              </w:rPr>
              <w:t>Positive Adressbucheinträge</w:t>
            </w:r>
          </w:p>
        </w:tc>
      </w:tr>
      <w:tr>
        <w:trPr>
          <w:cantSplit/>
        </w:trPr>
        <w:tc>
          <w:tcPr>
            <w:tcW w:type="dxa" w:w="1800"/>
            <w:tcMar>
              <w:top w:w="75" w:type="dxa"/>
              <w:start w:w="110" w:type="dxa"/>
              <w:bottom w:w="75" w:type="dxa"/>
              <w:end w:w="110" w:type="dxa"/>
              <w:left w:w="75" w:type="dxa"/>
              <w:right w:w="75" w:type="dxa"/>
            </w:tcMar>
            <w:vAlign w:val="center"/>
            <w:shd w:fill="EEF4F8"/>
          </w:tcPr>
          <w:p>
            <w:pPr>
              <w:spacing w:after="100" w:line="252" w:lineRule="auto" w:before="80"/>
            </w:pPr>
            <w:r>
              <w:rPr>
                <w:sz w:val="19"/>
              </w:rPr>
            </w:r>
            <w:r>
              <w:rPr>
                <w:rFonts w:ascii="Aptos" w:hAnsi="Aptos"/>
                <w:b w:val="0"/>
                <w:sz w:val="19"/>
              </w:rPr>
              <w:t>1967 und 1968</w:t>
            </w:r>
          </w:p>
        </w:tc>
        <w:tc>
          <w:tcPr>
            <w:tcW w:type="dxa" w:w="5400"/>
            <w:tcMar>
              <w:top w:w="75" w:type="dxa"/>
              <w:start w:w="110" w:type="dxa"/>
              <w:bottom w:w="75" w:type="dxa"/>
              <w:end w:w="110" w:type="dxa"/>
              <w:left w:w="75" w:type="dxa"/>
              <w:right w:w="75" w:type="dxa"/>
            </w:tcMar>
            <w:vAlign w:val="center"/>
            <w:shd w:fill="EEF4F8"/>
          </w:tcPr>
          <w:p>
            <w:pPr>
              <w:spacing w:after="100" w:line="252" w:lineRule="auto" w:before="80"/>
            </w:pPr>
            <w:r>
              <w:rPr>
                <w:sz w:val="19"/>
              </w:rPr>
            </w:r>
            <w:r>
              <w:rPr>
                <w:rFonts w:ascii="Aptos" w:hAnsi="Aptos"/>
                <w:b w:val="0"/>
                <w:sz w:val="19"/>
              </w:rPr>
              <w:t>Addie M. Bailey weiter in Apartment 305; 1968 Telefon 775-8315</w:t>
            </w:r>
          </w:p>
        </w:tc>
        <w:tc>
          <w:tcPr>
            <w:tcW w:type="dxa" w:w="2592"/>
            <w:tcMar>
              <w:top w:w="75" w:type="dxa"/>
              <w:start w:w="110" w:type="dxa"/>
              <w:bottom w:w="75" w:type="dxa"/>
              <w:end w:w="110" w:type="dxa"/>
              <w:left w:w="75" w:type="dxa"/>
              <w:right w:w="75" w:type="dxa"/>
            </w:tcMar>
            <w:vAlign w:val="center"/>
            <w:shd w:fill="EEF4F8"/>
          </w:tcPr>
          <w:p>
            <w:pPr>
              <w:spacing w:after="100" w:line="252" w:lineRule="auto" w:before="80"/>
            </w:pPr>
            <w:r>
              <w:rPr>
                <w:sz w:val="19"/>
              </w:rPr>
            </w:r>
            <w:r>
              <w:rPr>
                <w:rFonts w:ascii="Aptos" w:hAnsi="Aptos"/>
                <w:b w:val="0"/>
                <w:sz w:val="19"/>
              </w:rPr>
              <w:t>Positive Adressbucheinträge</w:t>
            </w:r>
          </w:p>
        </w:tc>
      </w:tr>
      <w:tr>
        <w:trPr>
          <w:cantSplit/>
        </w:trPr>
        <w:tc>
          <w:tcPr>
            <w:tcW w:type="dxa" w:w="1800"/>
            <w:tcMar>
              <w:top w:w="75" w:type="dxa"/>
              <w:start w:w="110" w:type="dxa"/>
              <w:bottom w:w="75" w:type="dxa"/>
              <w:end w:w="110" w:type="dxa"/>
              <w:left w:w="75" w:type="dxa"/>
              <w:right w:w="75" w:type="dxa"/>
            </w:tcMar>
            <w:vAlign w:val="center"/>
            <w:shd w:fill="EEF4F8"/>
          </w:tcPr>
          <w:p>
            <w:pPr>
              <w:spacing w:after="100" w:line="252" w:lineRule="auto" w:before="80"/>
            </w:pPr>
            <w:r>
              <w:rPr>
                <w:sz w:val="19"/>
              </w:rPr>
            </w:r>
            <w:r>
              <w:rPr>
                <w:rFonts w:ascii="Aptos" w:hAnsi="Aptos"/>
                <w:b w:val="0"/>
                <w:sz w:val="19"/>
              </w:rPr>
              <w:t>1969 bis 1970</w:t>
            </w:r>
          </w:p>
        </w:tc>
        <w:tc>
          <w:tcPr>
            <w:tcW w:type="dxa" w:w="5400"/>
            <w:tcMar>
              <w:top w:w="75" w:type="dxa"/>
              <w:start w:w="110" w:type="dxa"/>
              <w:bottom w:w="75" w:type="dxa"/>
              <w:end w:w="110" w:type="dxa"/>
              <w:left w:w="75" w:type="dxa"/>
              <w:right w:w="75" w:type="dxa"/>
            </w:tcMar>
            <w:vAlign w:val="center"/>
            <w:shd w:fill="EEF4F8"/>
          </w:tcPr>
          <w:p>
            <w:pPr>
              <w:spacing w:after="100" w:line="252" w:lineRule="auto" w:before="80"/>
            </w:pPr>
            <w:r>
              <w:rPr>
                <w:sz w:val="19"/>
              </w:rPr>
            </w:r>
            <w:r>
              <w:rPr>
                <w:rFonts w:ascii="Aptos" w:hAnsi="Aptos"/>
                <w:b w:val="0"/>
                <w:sz w:val="19"/>
              </w:rPr>
              <w:t>Addie M. Bailey weiterhin unter 685 Geary, Apartment 305</w:t>
            </w:r>
          </w:p>
        </w:tc>
        <w:tc>
          <w:tcPr>
            <w:tcW w:type="dxa" w:w="2592"/>
            <w:tcMar>
              <w:top w:w="75" w:type="dxa"/>
              <w:start w:w="110" w:type="dxa"/>
              <w:bottom w:w="75" w:type="dxa"/>
              <w:end w:w="110" w:type="dxa"/>
              <w:left w:w="75" w:type="dxa"/>
              <w:right w:w="75" w:type="dxa"/>
            </w:tcMar>
            <w:vAlign w:val="center"/>
            <w:shd w:fill="EEF4F8"/>
          </w:tcPr>
          <w:p>
            <w:pPr>
              <w:spacing w:after="100" w:line="252" w:lineRule="auto" w:before="80"/>
            </w:pPr>
            <w:r>
              <w:rPr>
                <w:sz w:val="19"/>
              </w:rPr>
            </w:r>
            <w:r>
              <w:rPr>
                <w:rFonts w:ascii="Aptos" w:hAnsi="Aptos"/>
                <w:b w:val="0"/>
                <w:sz w:val="19"/>
              </w:rPr>
              <w:t>Positiver Adressbucheintrag</w:t>
            </w:r>
          </w:p>
        </w:tc>
      </w:tr>
      <w:tr>
        <w:trPr>
          <w:cantSplit/>
        </w:trPr>
        <w:tc>
          <w:tcPr>
            <w:tcW w:type="dxa" w:w="1800"/>
            <w:tcMar>
              <w:top w:w="75" w:type="dxa"/>
              <w:start w:w="110" w:type="dxa"/>
              <w:bottom w:w="75" w:type="dxa"/>
              <w:end w:w="110" w:type="dxa"/>
              <w:left w:w="75" w:type="dxa"/>
              <w:right w:w="75" w:type="dxa"/>
            </w:tcMar>
            <w:vAlign w:val="center"/>
            <w:shd w:fill="EEF4F8"/>
          </w:tcPr>
          <w:p>
            <w:pPr>
              <w:spacing w:after="100" w:line="252" w:lineRule="auto" w:before="80"/>
            </w:pPr>
            <w:r>
              <w:rPr>
                <w:sz w:val="19"/>
              </w:rPr>
            </w:r>
            <w:r>
              <w:rPr>
                <w:rFonts w:ascii="Aptos" w:hAnsi="Aptos"/>
                <w:b w:val="0"/>
                <w:sz w:val="19"/>
              </w:rPr>
              <w:t>1971</w:t>
            </w:r>
          </w:p>
        </w:tc>
        <w:tc>
          <w:tcPr>
            <w:tcW w:type="dxa" w:w="5400"/>
            <w:tcMar>
              <w:top w:w="75" w:type="dxa"/>
              <w:start w:w="110" w:type="dxa"/>
              <w:bottom w:w="75" w:type="dxa"/>
              <w:end w:w="110" w:type="dxa"/>
              <w:left w:w="75" w:type="dxa"/>
              <w:right w:w="75" w:type="dxa"/>
            </w:tcMar>
            <w:vAlign w:val="center"/>
            <w:shd w:fill="EEF4F8"/>
          </w:tcPr>
          <w:p>
            <w:pPr>
              <w:spacing w:after="100" w:line="252" w:lineRule="auto" w:before="80"/>
            </w:pPr>
            <w:r>
              <w:rPr>
                <w:sz w:val="19"/>
              </w:rPr>
            </w:r>
            <w:r>
              <w:rPr>
                <w:rFonts w:ascii="Aptos" w:hAnsi="Aptos"/>
                <w:b w:val="0"/>
                <w:sz w:val="19"/>
              </w:rPr>
              <w:t>Letzter bislang gefundener Eintrag für Addie M. Bailey unter 685 Geary, Apartment 305</w:t>
            </w:r>
          </w:p>
        </w:tc>
        <w:tc>
          <w:tcPr>
            <w:tcW w:type="dxa" w:w="2592"/>
            <w:tcMar>
              <w:top w:w="75" w:type="dxa"/>
              <w:start w:w="110" w:type="dxa"/>
              <w:bottom w:w="75" w:type="dxa"/>
              <w:end w:w="110" w:type="dxa"/>
              <w:left w:w="75" w:type="dxa"/>
              <w:right w:w="75" w:type="dxa"/>
            </w:tcMar>
            <w:vAlign w:val="center"/>
            <w:shd w:fill="EEF4F8"/>
          </w:tcPr>
          <w:p>
            <w:pPr>
              <w:spacing w:after="100" w:line="252" w:lineRule="auto" w:before="80"/>
            </w:pPr>
            <w:r>
              <w:rPr>
                <w:sz w:val="19"/>
              </w:rPr>
            </w:r>
            <w:r>
              <w:rPr>
                <w:rFonts w:ascii="Aptos" w:hAnsi="Aptos"/>
                <w:b w:val="0"/>
                <w:sz w:val="19"/>
              </w:rPr>
              <w:t>Späte positive Spur</w:t>
            </w:r>
          </w:p>
        </w:tc>
      </w:tr>
      <w:tr>
        <w:trPr>
          <w:cantSplit/>
        </w:trPr>
        <w:tc>
          <w:tcPr>
            <w:tcW w:type="dxa" w:w="1800"/>
            <w:tcMar>
              <w:top w:w="75" w:type="dxa"/>
              <w:start w:w="110" w:type="dxa"/>
              <w:bottom w:w="75" w:type="dxa"/>
              <w:end w:w="110" w:type="dxa"/>
              <w:left w:w="75" w:type="dxa"/>
              <w:right w:w="75" w:type="dxa"/>
            </w:tcMar>
            <w:vAlign w:val="center"/>
            <w:shd w:fill="EEF4F8"/>
          </w:tcPr>
          <w:p>
            <w:pPr>
              <w:spacing w:after="100" w:line="252" w:lineRule="auto" w:before="80"/>
            </w:pPr>
            <w:r>
              <w:rPr>
                <w:sz w:val="19"/>
              </w:rPr>
            </w:r>
            <w:r>
              <w:rPr>
                <w:rFonts w:ascii="Aptos" w:hAnsi="Aptos"/>
                <w:b w:val="0"/>
                <w:sz w:val="19"/>
              </w:rPr>
              <w:t>1972 und 1973</w:t>
            </w:r>
          </w:p>
        </w:tc>
        <w:tc>
          <w:tcPr>
            <w:tcW w:type="dxa" w:w="5400"/>
            <w:tcMar>
              <w:top w:w="75" w:type="dxa"/>
              <w:start w:w="110" w:type="dxa"/>
              <w:bottom w:w="75" w:type="dxa"/>
              <w:end w:w="110" w:type="dxa"/>
              <w:left w:w="75" w:type="dxa"/>
              <w:right w:w="75" w:type="dxa"/>
            </w:tcMar>
            <w:vAlign w:val="center"/>
            <w:shd w:fill="EEF4F8"/>
          </w:tcPr>
          <w:p>
            <w:pPr>
              <w:spacing w:after="100" w:line="252" w:lineRule="auto" w:before="80"/>
            </w:pPr>
            <w:r>
              <w:rPr>
                <w:sz w:val="19"/>
              </w:rPr>
            </w:r>
            <w:r>
              <w:rPr>
                <w:rFonts w:ascii="Aptos" w:hAnsi="Aptos"/>
                <w:b w:val="0"/>
                <w:sz w:val="19"/>
              </w:rPr>
              <w:t>Addie an 685 Geary nicht mehr verzeichnet</w:t>
            </w:r>
          </w:p>
        </w:tc>
        <w:tc>
          <w:tcPr>
            <w:tcW w:type="dxa" w:w="2592"/>
            <w:tcMar>
              <w:top w:w="75" w:type="dxa"/>
              <w:start w:w="110" w:type="dxa"/>
              <w:bottom w:w="75" w:type="dxa"/>
              <w:end w:w="110" w:type="dxa"/>
              <w:left w:w="75" w:type="dxa"/>
              <w:right w:w="75" w:type="dxa"/>
            </w:tcMar>
            <w:vAlign w:val="center"/>
            <w:shd w:fill="EEF4F8"/>
          </w:tcPr>
          <w:p>
            <w:pPr>
              <w:spacing w:after="100" w:line="252" w:lineRule="auto" w:before="80"/>
            </w:pPr>
            <w:r>
              <w:rPr>
                <w:sz w:val="19"/>
              </w:rPr>
            </w:r>
            <w:r>
              <w:rPr>
                <w:rFonts w:ascii="Aptos" w:hAnsi="Aptos"/>
                <w:b w:val="0"/>
                <w:sz w:val="19"/>
              </w:rPr>
              <w:t>Negativbefund; kein Todesbeweis</w:t>
            </w:r>
          </w:p>
        </w:tc>
      </w:tr>
    </w:tbl>
    <w:p>
      <w:pPr>
        <w:pStyle w:val="Heading2"/>
      </w:pPr>
      <w:r>
        <w:rPr>
          <w:rFonts w:ascii="Times New Roman" w:hAnsi="Times New Roman"/>
          <w:color w:val="000000"/>
        </w:rPr>
        <w:t>Ergänzende Chronologie zu Maude</w:t>
      </w:r>
    </w:p>
    <w:tbl>
      <w:tblPr>
        <w:tblW w:type="auto" w:w="0"/>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264"/>
        <w:gridCol w:w="3264"/>
        <w:gridCol w:w="3264"/>
      </w:tblGrid>
      <w:tr>
        <w:trPr>
          <w:cantSplit/>
          <w:tblHeader/>
        </w:trPr>
        <w:tc>
          <w:tcPr>
            <w:tcW w:type="dxa" w:w="3264"/>
            <w:vAlign w:val="center"/>
            <w:tcMar>
              <w:top w:w="90" w:type="dxa"/>
              <w:start w:w="110" w:type="dxa"/>
              <w:bottom w:w="90" w:type="dxa"/>
              <w:end w:w="110" w:type="dxa"/>
            </w:tcMar>
            <w:shd w:fill="274C77"/>
          </w:tcPr>
          <w:p>
            <w:pPr>
              <w:spacing w:after="100" w:line="252" w:lineRule="auto" w:before="80"/>
            </w:pPr>
            <w:r>
              <w:rPr>
                <w:rFonts w:ascii="Aptos" w:hAnsi="Aptos"/>
                <w:b/>
                <w:color w:val="FFFFFF"/>
                <w:sz w:val="19"/>
              </w:rPr>
              <w:t>Datum</w:t>
            </w:r>
          </w:p>
        </w:tc>
        <w:tc>
          <w:tcPr>
            <w:tcW w:type="dxa" w:w="3264"/>
            <w:vAlign w:val="center"/>
            <w:tcMar>
              <w:top w:w="90" w:type="dxa"/>
              <w:start w:w="110" w:type="dxa"/>
              <w:bottom w:w="90" w:type="dxa"/>
              <w:end w:w="110" w:type="dxa"/>
            </w:tcMar>
            <w:shd w:fill="274C77"/>
          </w:tcPr>
          <w:p>
            <w:pPr>
              <w:spacing w:after="100" w:line="252" w:lineRule="auto" w:before="80"/>
            </w:pPr>
            <w:r>
              <w:rPr>
                <w:rFonts w:ascii="Aptos" w:hAnsi="Aptos"/>
                <w:b/>
                <w:color w:val="FFFFFF"/>
                <w:sz w:val="19"/>
              </w:rPr>
              <w:t>Ereignis</w:t>
            </w:r>
          </w:p>
        </w:tc>
        <w:tc>
          <w:tcPr>
            <w:tcW w:type="dxa" w:w="3264"/>
            <w:vAlign w:val="center"/>
            <w:tcMar>
              <w:top w:w="90" w:type="dxa"/>
              <w:start w:w="110" w:type="dxa"/>
              <w:bottom w:w="90" w:type="dxa"/>
              <w:end w:w="110" w:type="dxa"/>
            </w:tcMar>
            <w:shd w:fill="274C77"/>
          </w:tcPr>
          <w:p>
            <w:pPr>
              <w:spacing w:after="100" w:line="252" w:lineRule="auto" w:before="80"/>
            </w:pPr>
            <w:r>
              <w:rPr>
                <w:rFonts w:ascii="Aptos" w:hAnsi="Aptos"/>
                <w:b/>
                <w:color w:val="FFFFFF"/>
                <w:sz w:val="19"/>
              </w:rPr>
              <w:t>Quellenwert</w:t>
            </w:r>
          </w:p>
        </w:tc>
      </w:tr>
      <w:tr>
        <w:trPr>
          <w:cantSplit/>
        </w:trPr>
        <w:tc>
          <w:tcPr>
            <w:tcW w:type="dxa" w:w="3264"/>
            <w:vAlign w:val="center"/>
          </w:tcPr>
          <w:p>
            <w:pPr>
              <w:spacing w:line="252" w:lineRule="auto" w:after="100" w:before="80"/>
            </w:pPr>
            <w:r>
              <w:rPr>
                <w:sz w:val="19"/>
              </w:rPr>
              <w:t>16. Juni 1902</w:t>
            </w:r>
          </w:p>
        </w:tc>
        <w:tc>
          <w:tcPr>
            <w:tcW w:type="dxa" w:w="3264"/>
            <w:vAlign w:val="center"/>
          </w:tcPr>
          <w:p>
            <w:pPr>
              <w:spacing w:line="252" w:lineRule="auto" w:after="100" w:before="80"/>
            </w:pPr>
            <w:r>
              <w:rPr>
                <w:sz w:val="19"/>
              </w:rPr>
              <w:t>Heirat von Clara Maude Burrell und Ralph Watson in Cedar Rapids; anschließend geplante Reise nach Excelsior Springs</w:t>
            </w:r>
          </w:p>
        </w:tc>
        <w:tc>
          <w:tcPr>
            <w:tcW w:type="dxa" w:w="3264"/>
            <w:vAlign w:val="center"/>
          </w:tcPr>
          <w:p>
            <w:pPr>
              <w:spacing w:line="252" w:lineRule="auto" w:after="100" w:before="80"/>
            </w:pPr>
            <w:r>
              <w:rPr>
                <w:sz w:val="19"/>
              </w:rPr>
              <w:t>Zeitgenössische Hochzeitsmeldungen [47–48]</w:t>
            </w:r>
          </w:p>
        </w:tc>
      </w:tr>
      <w:tr>
        <w:trPr>
          <w:cantSplit/>
        </w:trPr>
        <w:tc>
          <w:tcPr>
            <w:tcW w:type="dxa" w:w="3264"/>
            <w:vAlign w:val="center"/>
          </w:tcPr>
          <w:p>
            <w:pPr>
              <w:spacing w:line="252" w:lineRule="auto" w:after="100" w:before="80"/>
            </w:pPr>
            <w:r>
              <w:rPr>
                <w:sz w:val="19"/>
              </w:rPr>
              <w:t>März 1905</w:t>
            </w:r>
          </w:p>
        </w:tc>
        <w:tc>
          <w:tcPr>
            <w:tcW w:type="dxa" w:w="3264"/>
            <w:vAlign w:val="center"/>
          </w:tcPr>
          <w:p>
            <w:pPr>
              <w:spacing w:line="252" w:lineRule="auto" w:after="100" w:before="80"/>
            </w:pPr>
            <w:r>
              <w:rPr>
                <w:sz w:val="19"/>
              </w:rPr>
              <w:t>Ralph und Maude besuchen ihre Eltern J. D. und Josephine Burrell in Urbana</w:t>
            </w:r>
          </w:p>
        </w:tc>
        <w:tc>
          <w:tcPr>
            <w:tcW w:type="dxa" w:w="3264"/>
            <w:vAlign w:val="center"/>
          </w:tcPr>
          <w:p>
            <w:pPr>
              <w:spacing w:line="252" w:lineRule="auto" w:after="100" w:before="80"/>
            </w:pPr>
            <w:r>
              <w:rPr>
                <w:sz w:val="19"/>
              </w:rPr>
              <w:t>Lokalnachricht [50]</w:t>
            </w:r>
          </w:p>
        </w:tc>
      </w:tr>
      <w:tr>
        <w:trPr>
          <w:cantSplit/>
        </w:trPr>
        <w:tc>
          <w:tcPr>
            <w:tcW w:type="dxa" w:w="3264"/>
            <w:vAlign w:val="center"/>
          </w:tcPr>
          <w:p>
            <w:pPr>
              <w:spacing w:line="252" w:lineRule="auto" w:after="100" w:before="80"/>
            </w:pPr>
            <w:r>
              <w:rPr>
                <w:sz w:val="19"/>
              </w:rPr>
              <w:t>Etwa 1909/1910</w:t>
            </w:r>
          </w:p>
        </w:tc>
        <w:tc>
          <w:tcPr>
            <w:tcW w:type="dxa" w:w="3264"/>
            <w:vAlign w:val="center"/>
          </w:tcPr>
          <w:p>
            <w:pPr>
              <w:spacing w:line="252" w:lineRule="auto" w:after="100" w:before="80"/>
            </w:pPr>
            <w:r>
              <w:rPr>
                <w:sz w:val="19"/>
              </w:rPr>
              <w:t>Umzug des Ehepaars von Fort Dodge nach San Francisco</w:t>
            </w:r>
          </w:p>
        </w:tc>
        <w:tc>
          <w:tcPr>
            <w:tcW w:type="dxa" w:w="3264"/>
            <w:vAlign w:val="center"/>
          </w:tcPr>
          <w:p>
            <w:pPr>
              <w:spacing w:line="252" w:lineRule="auto" w:after="100" w:before="80"/>
            </w:pPr>
            <w:r>
              <w:rPr>
                <w:sz w:val="19"/>
              </w:rPr>
              <w:t>Ungefähre Rückdatierung aus Nachruf 1915 [49]</w:t>
            </w:r>
          </w:p>
        </w:tc>
      </w:tr>
      <w:tr>
        <w:trPr>
          <w:cantSplit/>
        </w:trPr>
        <w:tc>
          <w:tcPr>
            <w:tcW w:type="dxa" w:w="3264"/>
            <w:vAlign w:val="center"/>
          </w:tcPr>
          <w:p>
            <w:pPr>
              <w:spacing w:line="252" w:lineRule="auto" w:after="100" w:before="80"/>
            </w:pPr>
            <w:r>
              <w:rPr>
                <w:sz w:val="19"/>
              </w:rPr>
              <w:t>August 1910</w:t>
            </w:r>
          </w:p>
        </w:tc>
        <w:tc>
          <w:tcPr>
            <w:tcW w:type="dxa" w:w="3264"/>
            <w:vAlign w:val="center"/>
          </w:tcPr>
          <w:p>
            <w:pPr>
              <w:spacing w:line="252" w:lineRule="auto" w:after="100" w:before="80"/>
            </w:pPr>
            <w:r>
              <w:rPr>
                <w:sz w:val="19"/>
              </w:rPr>
              <w:t>Nachruf auf Maudes Vater nennt sie in San Francisco</w:t>
            </w:r>
          </w:p>
        </w:tc>
        <w:tc>
          <w:tcPr>
            <w:tcW w:type="dxa" w:w="3264"/>
            <w:vAlign w:val="center"/>
          </w:tcPr>
          <w:p>
            <w:pPr>
              <w:spacing w:line="252" w:lineRule="auto" w:after="100" w:before="80"/>
            </w:pPr>
            <w:r>
              <w:rPr>
                <w:sz w:val="19"/>
              </w:rPr>
              <w:t>Zeitnaher Wohnortbeleg [51]</w:t>
            </w:r>
          </w:p>
        </w:tc>
      </w:tr>
      <w:tr>
        <w:trPr>
          <w:cantSplit/>
        </w:trPr>
        <w:tc>
          <w:tcPr>
            <w:tcW w:type="dxa" w:w="3264"/>
            <w:vAlign w:val="center"/>
          </w:tcPr>
          <w:p>
            <w:pPr>
              <w:spacing w:line="252" w:lineRule="auto" w:after="100" w:before="80"/>
            </w:pPr>
            <w:r>
              <w:rPr>
                <w:sz w:val="19"/>
              </w:rPr>
              <w:t>30. Juni 1911</w:t>
            </w:r>
          </w:p>
        </w:tc>
        <w:tc>
          <w:tcPr>
            <w:tcW w:type="dxa" w:w="3264"/>
            <w:vAlign w:val="center"/>
          </w:tcPr>
          <w:p>
            <w:pPr>
              <w:spacing w:line="252" w:lineRule="auto" w:after="100" w:before="80"/>
            </w:pPr>
            <w:r>
              <w:rPr>
                <w:sz w:val="19"/>
              </w:rPr>
              <w:t>Meldung über Maudes Rückkehr aus Honolulu; Anschrift 493 Haight Street</w:t>
            </w:r>
          </w:p>
        </w:tc>
        <w:tc>
          <w:tcPr>
            <w:tcW w:type="dxa" w:w="3264"/>
            <w:vAlign w:val="center"/>
          </w:tcPr>
          <w:p>
            <w:pPr>
              <w:spacing w:line="252" w:lineRule="auto" w:after="100" w:before="80"/>
            </w:pPr>
            <w:r>
              <w:rPr>
                <w:sz w:val="19"/>
              </w:rPr>
              <w:t>Zeitungsnotiz [52]</w:t>
            </w:r>
          </w:p>
        </w:tc>
      </w:tr>
      <w:tr>
        <w:trPr>
          <w:cantSplit/>
        </w:trPr>
        <w:tc>
          <w:tcPr>
            <w:tcW w:type="dxa" w:w="3264"/>
            <w:vAlign w:val="center"/>
          </w:tcPr>
          <w:p>
            <w:pPr>
              <w:spacing w:line="252" w:lineRule="auto" w:after="100" w:before="80"/>
            </w:pPr>
            <w:r>
              <w:rPr>
                <w:sz w:val="19"/>
              </w:rPr>
              <w:t>1915 vor dem 4. November</w:t>
            </w:r>
          </w:p>
        </w:tc>
        <w:tc>
          <w:tcPr>
            <w:tcW w:type="dxa" w:w="3264"/>
            <w:vAlign w:val="center"/>
          </w:tcPr>
          <w:p>
            <w:pPr>
              <w:spacing w:line="252" w:lineRule="auto" w:after="100" w:before="80"/>
            </w:pPr>
            <w:r>
              <w:rPr>
                <w:sz w:val="19"/>
              </w:rPr>
              <w:t>Ralph Watson stirbt; Maude überlebt ihn als Ehefrau</w:t>
            </w:r>
          </w:p>
        </w:tc>
        <w:tc>
          <w:tcPr>
            <w:tcW w:type="dxa" w:w="3264"/>
            <w:vAlign w:val="center"/>
          </w:tcPr>
          <w:p>
            <w:pPr>
              <w:spacing w:line="252" w:lineRule="auto" w:after="100" w:before="80"/>
            </w:pPr>
            <w:r>
              <w:rPr>
                <w:sz w:val="19"/>
              </w:rPr>
              <w:t>Nachruf ohne genaues Todesdatum [49]</w:t>
            </w:r>
          </w:p>
        </w:tc>
      </w:tr>
      <w:tr>
        <w:trPr>
          <w:cantSplit/>
        </w:trPr>
        <w:tc>
          <w:tcPr>
            <w:tcW w:type="dxa" w:w="3264"/>
            <w:vAlign w:val="center"/>
          </w:tcPr>
          <w:p>
            <w:pPr>
              <w:spacing w:line="252" w:lineRule="auto" w:after="100" w:before="80"/>
            </w:pPr>
            <w:r>
              <w:rPr>
                <w:sz w:val="19"/>
              </w:rPr>
              <w:t>März 1917</w:t>
            </w:r>
          </w:p>
        </w:tc>
        <w:tc>
          <w:tcPr>
            <w:tcW w:type="dxa" w:w="3264"/>
            <w:vAlign w:val="center"/>
          </w:tcPr>
          <w:p>
            <w:pPr>
              <w:spacing w:line="252" w:lineRule="auto" w:after="100" w:before="80"/>
            </w:pPr>
            <w:r>
              <w:rPr>
                <w:sz w:val="19"/>
              </w:rPr>
              <w:t>Nachruf auf Josephine Burrell nennt Tochter Maude Watson und die Anwesenheit aller überlebenden Kinder</w:t>
            </w:r>
          </w:p>
        </w:tc>
        <w:tc>
          <w:tcPr>
            <w:tcW w:type="dxa" w:w="3264"/>
            <w:vAlign w:val="center"/>
          </w:tcPr>
          <w:p>
            <w:pPr>
              <w:spacing w:line="252" w:lineRule="auto" w:after="100" w:before="80"/>
            </w:pPr>
            <w:r>
              <w:rPr>
                <w:sz w:val="19"/>
              </w:rPr>
              <w:t>Familiennachruf [53]</w:t>
            </w:r>
          </w:p>
        </w:tc>
      </w:tr>
      <w:tr>
        <w:trPr>
          <w:cantSplit/>
        </w:trPr>
        <w:tc>
          <w:tcPr>
            <w:tcW w:type="dxa" w:w="3264"/>
            <w:vAlign w:val="center"/>
          </w:tcPr>
          <w:p>
            <w:pPr>
              <w:spacing w:line="252" w:lineRule="auto" w:after="100" w:before="80"/>
            </w:pPr>
            <w:r>
              <w:rPr>
                <w:sz w:val="19"/>
              </w:rPr>
              <w:t>1920</w:t>
            </w:r>
          </w:p>
        </w:tc>
        <w:tc>
          <w:tcPr>
            <w:tcW w:type="dxa" w:w="3264"/>
            <w:vAlign w:val="center"/>
          </w:tcPr>
          <w:p>
            <w:pPr>
              <w:spacing w:line="252" w:lineRule="auto" w:after="100" w:before="80"/>
            </w:pPr>
            <w:r>
              <w:rPr>
                <w:sz w:val="19"/>
              </w:rPr>
              <w:t>Maude B. Watson, Angestellte bei Chanslor &amp; Lyon: 1143 Larkin. Ein Nelson B. Bailey an derselben Adresse.</w:t>
            </w:r>
          </w:p>
        </w:tc>
        <w:tc>
          <w:tcPr>
            <w:tcW w:type="dxa" w:w="3264"/>
            <w:vAlign w:val="center"/>
          </w:tcPr>
          <w:p>
            <w:pPr>
              <w:spacing w:line="252" w:lineRule="auto" w:after="100" w:before="80"/>
            </w:pPr>
            <w:r>
              <w:rPr>
                <w:sz w:val="19"/>
              </w:rPr>
              <w:t>Gleiche gedruckte Anschrift; Zuordnung zum späteren Ehepaar noch offen. [7]</w:t>
            </w:r>
          </w:p>
        </w:tc>
      </w:tr>
      <w:tr>
        <w:trPr>
          <w:cantSplit/>
        </w:trPr>
        <w:tc>
          <w:tcPr>
            <w:tcW w:type="dxa" w:w="3264"/>
            <w:vAlign w:val="center"/>
          </w:tcPr>
          <w:p>
            <w:pPr>
              <w:spacing w:line="252" w:lineRule="auto" w:after="100" w:before="80"/>
            </w:pPr>
            <w:r>
              <w:rPr>
                <w:sz w:val="19"/>
              </w:rPr>
              <w:t>6. November 1921</w:t>
            </w:r>
          </w:p>
        </w:tc>
        <w:tc>
          <w:tcPr>
            <w:tcW w:type="dxa" w:w="3264"/>
            <w:vAlign w:val="center"/>
          </w:tcPr>
          <w:p>
            <w:pPr>
              <w:spacing w:line="252" w:lineRule="auto" w:after="100" w:before="80"/>
            </w:pPr>
            <w:r>
              <w:rPr>
                <w:sz w:val="19"/>
              </w:rPr>
              <w:t>Heirat mit Nelson Burdette Bailey in San Francisco</w:t>
            </w:r>
          </w:p>
        </w:tc>
        <w:tc>
          <w:tcPr>
            <w:tcW w:type="dxa" w:w="3264"/>
            <w:vAlign w:val="center"/>
          </w:tcPr>
          <w:p>
            <w:pPr>
              <w:spacing w:line="252" w:lineRule="auto" w:after="100" w:before="80"/>
            </w:pPr>
            <w:r>
              <w:rPr>
                <w:sz w:val="19"/>
              </w:rPr>
              <w:t>Heiratseintrag [9–10]</w:t>
            </w:r>
          </w:p>
        </w:tc>
      </w:tr>
      <w:tr>
        <w:trPr>
          <w:cantSplit/>
        </w:trPr>
        <w:tc>
          <w:tcPr>
            <w:tcW w:type="dxa" w:w="3264"/>
            <w:vAlign w:val="center"/>
            <w:tcMar>
              <w:top w:w="90" w:type="dxa"/>
              <w:start w:w="110" w:type="dxa"/>
              <w:bottom w:w="90" w:type="dxa"/>
              <w:end w:w="110" w:type="dxa"/>
            </w:tcMar>
          </w:tcPr>
          <w:p>
            <w:pPr>
              <w:spacing w:after="100" w:line="252" w:lineRule="auto" w:before="80"/>
              <w:jc w:val="center"/>
            </w:pPr>
            <w:r>
              <w:rPr>
                <w:rFonts w:ascii="Aptos" w:hAnsi="Aptos"/>
                <w:sz w:val="19"/>
              </w:rPr>
              <w:t>23 bis 25 Juli 1948</w:t>
            </w:r>
          </w:p>
        </w:tc>
        <w:tc>
          <w:tcPr>
            <w:tcW w:type="dxa" w:w="3264"/>
            <w:vAlign w:val="center"/>
            <w:tcMar>
              <w:top w:w="90" w:type="dxa"/>
              <w:start w:w="110" w:type="dxa"/>
              <w:bottom w:w="90" w:type="dxa"/>
              <w:end w:w="110" w:type="dxa"/>
            </w:tcMar>
          </w:tcPr>
          <w:p>
            <w:pPr>
              <w:spacing w:after="100" w:line="252" w:lineRule="auto" w:before="80"/>
            </w:pPr>
            <w:r>
              <w:rPr>
                <w:rFonts w:ascii="Aptos" w:hAnsi="Aptos"/>
                <w:sz w:val="19"/>
              </w:rPr>
              <w:t>Nelson stirbt in Santa Rosa; die Todesanzeige nennt Maude als seine Ehefrau</w:t>
            </w:r>
          </w:p>
        </w:tc>
        <w:tc>
          <w:tcPr>
            <w:tcW w:type="dxa" w:w="3264"/>
            <w:vAlign w:val="center"/>
            <w:tcMar>
              <w:top w:w="90" w:type="dxa"/>
              <w:start w:w="110" w:type="dxa"/>
              <w:bottom w:w="90" w:type="dxa"/>
              <w:end w:w="110" w:type="dxa"/>
            </w:tcMar>
          </w:tcPr>
          <w:p>
            <w:pPr>
              <w:spacing w:after="100" w:line="252" w:lineRule="auto" w:before="80"/>
              <w:jc w:val="center"/>
            </w:pPr>
            <w:r>
              <w:rPr>
                <w:rFonts w:ascii="Aptos" w:hAnsi="Aptos"/>
                <w:sz w:val="19"/>
              </w:rPr>
              <w:t>Letzter sicherer Beleg für Maude</w:t>
            </w:r>
          </w:p>
        </w:tc>
      </w:tr>
      <w:tr>
        <w:trPr>
          <w:cantSplit/>
        </w:trPr>
        <w:tc>
          <w:tcPr>
            <w:tcW w:type="dxa" w:w="3264"/>
            <w:vAlign w:val="center"/>
            <w:tcMar>
              <w:top w:w="90" w:type="dxa"/>
              <w:start w:w="110" w:type="dxa"/>
              <w:bottom w:w="90" w:type="dxa"/>
              <w:end w:w="110" w:type="dxa"/>
            </w:tcMar>
            <w:shd w:fill="EEF4F8"/>
          </w:tcPr>
          <w:p>
            <w:pPr>
              <w:spacing w:after="100" w:line="252" w:lineRule="auto" w:before="80"/>
              <w:jc w:val="center"/>
            </w:pPr>
            <w:r>
              <w:rPr>
                <w:rFonts w:ascii="Aptos" w:hAnsi="Aptos"/>
                <w:sz w:val="19"/>
              </w:rPr>
              <w:t>April 1950</w:t>
            </w:r>
          </w:p>
        </w:tc>
        <w:tc>
          <w:tcPr>
            <w:tcW w:type="dxa" w:w="3264"/>
            <w:vAlign w:val="center"/>
            <w:tcMar>
              <w:top w:w="90" w:type="dxa"/>
              <w:start w:w="110" w:type="dxa"/>
              <w:bottom w:w="90" w:type="dxa"/>
              <w:end w:w="110" w:type="dxa"/>
            </w:tcMar>
            <w:shd w:fill="EEF4F8"/>
          </w:tcPr>
          <w:p>
            <w:pPr>
              <w:spacing w:after="100" w:line="252" w:lineRule="auto" w:before="80"/>
            </w:pPr>
            <w:r>
              <w:rPr>
                <w:rFonts w:ascii="Aptos" w:hAnsi="Aptos"/>
                <w:sz w:val="19"/>
              </w:rPr>
              <w:t>Kein passender Eintrag für Maude oder Clara Bailey im geprüften Zensusbezirk von 429 Eighth Street</w:t>
            </w:r>
          </w:p>
        </w:tc>
        <w:tc>
          <w:tcPr>
            <w:tcW w:type="dxa" w:w="3264"/>
            <w:vAlign w:val="center"/>
            <w:tcMar>
              <w:top w:w="90" w:type="dxa"/>
              <w:start w:w="110" w:type="dxa"/>
              <w:bottom w:w="90" w:type="dxa"/>
              <w:end w:w="110" w:type="dxa"/>
            </w:tcMar>
            <w:shd w:fill="EEF4F8"/>
          </w:tcPr>
          <w:p>
            <w:pPr>
              <w:spacing w:after="100" w:line="252" w:lineRule="auto" w:before="80"/>
              <w:jc w:val="center"/>
            </w:pPr>
            <w:r>
              <w:rPr>
                <w:rFonts w:ascii="Aptos" w:hAnsi="Aptos"/>
                <w:sz w:val="19"/>
              </w:rPr>
              <w:t>Negativbefund mit OCR-Vorbehalt</w:t>
            </w:r>
          </w:p>
        </w:tc>
      </w:tr>
      <w:tr>
        <w:trPr>
          <w:cantSplit/>
        </w:trPr>
        <w:tc>
          <w:tcPr>
            <w:tcW w:type="dxa" w:w="3264"/>
            <w:vAlign w:val="center"/>
            <w:tcMar>
              <w:top w:w="90" w:type="dxa"/>
              <w:start w:w="110" w:type="dxa"/>
              <w:bottom w:w="90" w:type="dxa"/>
              <w:end w:w="110" w:type="dxa"/>
            </w:tcMar>
          </w:tcPr>
          <w:p>
            <w:pPr>
              <w:spacing w:after="100" w:line="252" w:lineRule="auto" w:before="80"/>
              <w:jc w:val="center"/>
            </w:pPr>
            <w:r>
              <w:rPr>
                <w:rFonts w:ascii="Aptos" w:hAnsi="Aptos"/>
                <w:sz w:val="19"/>
              </w:rPr>
              <w:t>25 Januar 1951</w:t>
            </w:r>
          </w:p>
        </w:tc>
        <w:tc>
          <w:tcPr>
            <w:tcW w:type="dxa" w:w="3264"/>
            <w:vAlign w:val="center"/>
            <w:tcMar>
              <w:top w:w="90" w:type="dxa"/>
              <w:start w:w="110" w:type="dxa"/>
              <w:bottom w:w="90" w:type="dxa"/>
              <w:end w:w="110" w:type="dxa"/>
            </w:tcMar>
          </w:tcPr>
          <w:p>
            <w:pPr>
              <w:spacing w:after="100" w:line="252" w:lineRule="auto" w:before="80"/>
            </w:pPr>
            <w:r>
              <w:rPr>
                <w:rFonts w:ascii="Aptos" w:hAnsi="Aptos"/>
                <w:sz w:val="19"/>
              </w:rPr>
              <w:t>Nachruf auf Bertha M. Wood nennt eine andere Clara Bailey in Fort Dick als Mitglied der Familie Walker</w:t>
            </w:r>
          </w:p>
        </w:tc>
        <w:tc>
          <w:tcPr>
            <w:tcW w:type="dxa" w:w="3264"/>
            <w:vAlign w:val="center"/>
            <w:tcMar>
              <w:top w:w="90" w:type="dxa"/>
              <w:start w:w="110" w:type="dxa"/>
              <w:bottom w:w="90" w:type="dxa"/>
              <w:end w:w="110" w:type="dxa"/>
            </w:tcMar>
          </w:tcPr>
          <w:p>
            <w:pPr>
              <w:spacing w:after="100" w:line="252" w:lineRule="auto" w:before="80"/>
              <w:jc w:val="center"/>
            </w:pPr>
            <w:r>
              <w:rPr>
                <w:rFonts w:ascii="Aptos" w:hAnsi="Aptos"/>
                <w:sz w:val="19"/>
              </w:rPr>
              <w:t>Primärnaher Ausschluss einer Namensspur</w:t>
            </w:r>
          </w:p>
        </w:tc>
      </w:tr>
      <w:tr>
        <w:trPr>
          <w:cantSplit/>
        </w:trPr>
        <w:tc>
          <w:tcPr>
            <w:tcW w:type="dxa" w:w="3264"/>
            <w:vAlign w:val="center"/>
            <w:tcMar>
              <w:top w:w="90" w:type="dxa"/>
              <w:start w:w="110" w:type="dxa"/>
              <w:bottom w:w="90" w:type="dxa"/>
              <w:end w:w="110" w:type="dxa"/>
            </w:tcMar>
            <w:shd w:fill="EEF4F8"/>
          </w:tcPr>
          <w:p>
            <w:pPr>
              <w:spacing w:after="100" w:line="252" w:lineRule="auto" w:before="80"/>
              <w:jc w:val="center"/>
            </w:pPr>
            <w:r>
              <w:rPr>
                <w:rFonts w:ascii="Aptos" w:hAnsi="Aptos"/>
                <w:sz w:val="19"/>
              </w:rPr>
              <w:t>1953</w:t>
            </w:r>
          </w:p>
        </w:tc>
        <w:tc>
          <w:tcPr>
            <w:tcW w:type="dxa" w:w="3264"/>
            <w:vAlign w:val="center"/>
            <w:tcMar>
              <w:top w:w="90" w:type="dxa"/>
              <w:start w:w="110" w:type="dxa"/>
              <w:bottom w:w="90" w:type="dxa"/>
              <w:end w:w="110" w:type="dxa"/>
            </w:tcMar>
            <w:shd w:fill="EEF4F8"/>
          </w:tcPr>
          <w:p>
            <w:pPr>
              <w:spacing w:after="100" w:line="252" w:lineRule="auto" w:before="80"/>
            </w:pPr>
            <w:r>
              <w:rPr>
                <w:rFonts w:ascii="Aptos" w:hAnsi="Aptos"/>
                <w:sz w:val="19"/>
              </w:rPr>
              <w:t>Zeitungsnotizen bestätigen Clara Bailey weiterhin in Fort Dick und Etta Walker als ihre Schwester</w:t>
            </w:r>
          </w:p>
        </w:tc>
        <w:tc>
          <w:tcPr>
            <w:tcW w:type="dxa" w:w="3264"/>
            <w:vAlign w:val="center"/>
            <w:tcMar>
              <w:top w:w="90" w:type="dxa"/>
              <w:start w:w="110" w:type="dxa"/>
              <w:bottom w:w="90" w:type="dxa"/>
              <w:end w:w="110" w:type="dxa"/>
            </w:tcMar>
            <w:shd w:fill="EEF4F8"/>
          </w:tcPr>
          <w:p>
            <w:pPr>
              <w:spacing w:after="100" w:line="252" w:lineRule="auto" w:before="80"/>
              <w:jc w:val="center"/>
            </w:pPr>
            <w:r>
              <w:rPr>
                <w:rFonts w:ascii="Aptos" w:hAnsi="Aptos"/>
                <w:sz w:val="19"/>
              </w:rPr>
              <w:t>Bestätigung der ausgeschlossenen Spur</w:t>
            </w:r>
          </w:p>
        </w:tc>
      </w:tr>
      <w:tr>
        <w:trPr>
          <w:cantSplit/>
        </w:trPr>
        <w:tc>
          <w:tcPr>
            <w:tcW w:type="dxa" w:w="3264"/>
            <w:vAlign w:val="center"/>
            <w:tcMar>
              <w:top w:w="90" w:type="dxa"/>
              <w:start w:w="110" w:type="dxa"/>
              <w:bottom w:w="90" w:type="dxa"/>
              <w:end w:w="110" w:type="dxa"/>
            </w:tcMar>
          </w:tcPr>
          <w:p>
            <w:pPr>
              <w:spacing w:after="100" w:line="252" w:lineRule="auto" w:before="80"/>
              <w:jc w:val="center"/>
            </w:pPr>
            <w:r>
              <w:rPr>
                <w:rFonts w:ascii="Aptos" w:hAnsi="Aptos"/>
                <w:sz w:val="19"/>
              </w:rPr>
              <w:t>1958</w:t>
            </w:r>
          </w:p>
        </w:tc>
        <w:tc>
          <w:tcPr>
            <w:tcW w:type="dxa" w:w="3264"/>
            <w:vAlign w:val="center"/>
            <w:tcMar>
              <w:top w:w="90" w:type="dxa"/>
              <w:start w:w="110" w:type="dxa"/>
              <w:bottom w:w="90" w:type="dxa"/>
              <w:end w:w="110" w:type="dxa"/>
            </w:tcMar>
          </w:tcPr>
          <w:p>
            <w:pPr>
              <w:spacing w:after="100" w:line="252" w:lineRule="auto" w:before="80"/>
            </w:pPr>
            <w:r>
              <w:rPr>
                <w:rFonts w:ascii="Aptos" w:hAnsi="Aptos"/>
                <w:sz w:val="19"/>
              </w:rPr>
              <w:t>Kein eindeutig passender Maude- oder Clara-Bailey-Eintrag im geprüften Santa-Rosa-Adressbuch</w:t>
            </w:r>
          </w:p>
        </w:tc>
        <w:tc>
          <w:tcPr>
            <w:tcW w:type="dxa" w:w="3264"/>
            <w:vAlign w:val="center"/>
            <w:tcMar>
              <w:top w:w="90" w:type="dxa"/>
              <w:start w:w="110" w:type="dxa"/>
              <w:bottom w:w="90" w:type="dxa"/>
              <w:end w:w="110" w:type="dxa"/>
            </w:tcMar>
          </w:tcPr>
          <w:p>
            <w:pPr>
              <w:spacing w:after="100" w:line="252" w:lineRule="auto" w:before="80"/>
              <w:jc w:val="center"/>
            </w:pPr>
            <w:r>
              <w:rPr>
                <w:rFonts w:ascii="Aptos" w:hAnsi="Aptos"/>
                <w:sz w:val="19"/>
              </w:rPr>
              <w:t>Negativbefund; kein Todesbeweis</w:t>
            </w:r>
          </w:p>
        </w:tc>
      </w:tr>
      <w:tr>
        <w:trPr>
          <w:cantSplit/>
        </w:trPr>
        <w:tc>
          <w:tcPr>
            <w:tcW w:type="dxa" w:w="3264"/>
            <w:vAlign w:val="center"/>
            <w:tcMar>
              <w:top w:w="90" w:type="dxa"/>
              <w:start w:w="110" w:type="dxa"/>
              <w:bottom w:w="90" w:type="dxa"/>
              <w:end w:w="110" w:type="dxa"/>
            </w:tcMar>
            <w:shd w:fill="EEF4F8"/>
          </w:tcPr>
          <w:p>
            <w:pPr>
              <w:spacing w:after="100" w:line="252" w:lineRule="auto" w:before="80"/>
              <w:jc w:val="center"/>
            </w:pPr>
            <w:r>
              <w:rPr>
                <w:rFonts w:ascii="Aptos" w:hAnsi="Aptos"/>
                <w:sz w:val="19"/>
              </w:rPr>
              <w:t>März 1976</w:t>
            </w:r>
          </w:p>
        </w:tc>
        <w:tc>
          <w:tcPr>
            <w:tcW w:type="dxa" w:w="3264"/>
            <w:vAlign w:val="center"/>
            <w:tcMar>
              <w:top w:w="90" w:type="dxa"/>
              <w:start w:w="110" w:type="dxa"/>
              <w:bottom w:w="90" w:type="dxa"/>
              <w:end w:w="110" w:type="dxa"/>
            </w:tcMar>
            <w:shd w:fill="EEF4F8"/>
          </w:tcPr>
          <w:p>
            <w:pPr>
              <w:spacing w:after="100" w:line="252" w:lineRule="auto" w:before="80"/>
            </w:pPr>
            <w:r>
              <w:rPr>
                <w:rFonts w:ascii="Aptos" w:hAnsi="Aptos"/>
                <w:sz w:val="19"/>
              </w:rPr>
              <w:t>Tod einer Maude R. Bailey in Berkeley; als Maude Rowland Bailey, Ehefrau von Charles M. Bailey, identifiziert</w:t>
            </w:r>
          </w:p>
        </w:tc>
        <w:tc>
          <w:tcPr>
            <w:tcW w:type="dxa" w:w="3264"/>
            <w:vAlign w:val="center"/>
            <w:tcMar>
              <w:top w:w="90" w:type="dxa"/>
              <w:start w:w="110" w:type="dxa"/>
              <w:bottom w:w="90" w:type="dxa"/>
              <w:end w:w="110" w:type="dxa"/>
            </w:tcMar>
            <w:shd w:fill="EEF4F8"/>
          </w:tcPr>
          <w:p>
            <w:pPr>
              <w:spacing w:after="100" w:line="252" w:lineRule="auto" w:before="80"/>
              <w:jc w:val="center"/>
            </w:pPr>
            <w:r>
              <w:rPr>
                <w:rFonts w:ascii="Aptos" w:hAnsi="Aptos"/>
                <w:sz w:val="19"/>
              </w:rPr>
              <w:t>Ausgeschlossene Namensspur</w:t>
            </w:r>
          </w:p>
        </w:tc>
      </w:tr>
    </w:tbl>
    <w:p>
      <w:pPr>
        <w:pStyle w:val="Heading1"/>
      </w:pPr>
      <w:r>
        <w:rPr>
          <w:rFonts w:ascii="Times New Roman" w:hAnsi="Times New Roman" w:eastAsia="Times New Roman"/>
          <w:b/>
          <w:color w:val="000000"/>
          <w:sz w:val="30"/>
        </w:rPr>
        <w:t>Fotografien</w:t>
      </w:r>
    </w:p>
    <w:p>
      <w:pPr/>
      <w:r>
        <w:t>Ein neuer Archivfund belegt die Existenz einer Aufnahme aus dem Mai 1935. Der Online Archive of California verzeichnet im Fotoarchiv des San Francisco Examiner ein Negativ mit dem Titel „Miss Jaline Bailey and Mrs. Nelson Bailey“. Die Signatur lautet BANC PIC 2006.029--NEG, Box 618, Sleeve 092707.14. Das Negativ gehört zum Bestand der Bancroft Library an der University of California, Berkeley.</w:t>
      </w:r>
    </w:p>
    <w:p>
      <w:pPr/>
      <w:r>
        <w:t>Der Katalogeintrag beweist jedoch noch nicht, dass die bezeichnete Mrs. Nelson Bailey mit Maude Burrell Watson Bailey identisch ist. Der Vorname des Ehemanns fehlt, und die Beziehung zu Miss Jaline Bailey wird nicht erklärt. Auch die eigenständige Spur zu Jaline Lloyd Bailey, Jahrgang 1913, stellt bislang keine belastbare Verbindung zu Nelson Burdette Bailey her. Das Bild ist deshalb als aussichtsreicher Kandidat, nicht als gesichertes Porträt Maudes zu behandeln.</w:t>
      </w:r>
    </w:p>
    <w:p>
      <w:pPr/>
      <w:r>
        <w:t>Der digitale Katalog zeigt keinen Scan des Negativs. Der Bestand ist nach Voranmeldung in der Bancroft Library benutzbar; der Katalog bietet außerdem eine Bestellmöglichkeit. Vor einer Veröffentlichung sind eine Reproduktion, die rückseitige oder begleitende Beschriftung und möglichst der zugehörige Zeitungskontext zu prüfen. Für Aufnahmen von Mitarbeitern des San Francisco Examiner nennt die Sammlung eine Lizenz nach CC BY 4.0 mit festgelegter Quellenangabe.</w:t>
      </w:r>
    </w:p>
    <w:p>
      <w:pPr/>
      <w:r>
        <w:t>Für Addie M. Mentzer Bailey wurde weiterhin kein eindeutig identifiziertes Porträt gefunden. Die Heiratsurkunde von Nelson und Maude ist ein zeitgenössisches Dokument, aber kein Porträtfoto.</w:t>
      </w:r>
    </w:p>
    <w:p>
      <w:pPr>
        <w:pStyle w:val="Heading1"/>
      </w:pPr>
      <w:r>
        <w:rPr>
          <w:rFonts w:ascii="Times New Roman" w:hAnsi="Times New Roman" w:eastAsia="Times New Roman"/>
          <w:b/>
          <w:color w:val="000000"/>
          <w:sz w:val="30"/>
        </w:rPr>
        <w:t>Vorschlag für bailey ukulele de</w:t>
      </w:r>
    </w:p>
    <w:p>
      <w:pPr>
        <w:spacing w:line="348" w:lineRule="auto" w:after="140"/>
        <w:jc w:val="left"/>
      </w:pPr>
      <w:r>
        <w:rPr>
          <w:rFonts w:ascii="Times New Roman" w:hAnsi="Times New Roman" w:eastAsia="Times New Roman"/>
          <w:color w:val="1F2933"/>
          <w:sz w:val="22"/>
        </w:rPr>
        <w:t>Für eine knappe und quellenfeste Darstellung auf der Website eignet sich folgender Text:</w:t>
      </w:r>
    </w:p>
    <w:p>
      <w:pPr>
        <w:spacing w:before="100" w:after="200" w:line="324" w:lineRule="auto"/>
        <w:ind w:left="648" w:right="504"/>
      </w:pPr>
      <w:r>
        <w:t>Nelson Burdette Bailey heiratete am 31. August 1904 Addie M. Mentzer. Die Ehe wurde vor seiner zweiten Hochzeit am 6. November 1921 geschieden. Seine zweite Frau, Maude Burrell Watson, hatte am 16. Juni 1902 in Cedar Rapids Ralph Watson geheiratet. Das Paar lebte zunächst in Fort Dodge und zog etwa 1909/1910 nach San Francisco. Eine Zeitungsnotiz belegt Maudes Rückkehr aus Honolulu 1911. Ralph starb 1915; sein Nachruf nennt Maude als überlebende Ehefrau. Das Adressbuch von 1920 enthält unter 1143 Larkin Einträge für Maude B. Watson und Nelson B. Bailey. Ob sie zweifelsfrei das spätere Ehepaar betreffen, bleibt offen: Der Bailey-Eintrag nennt Smith &amp; Bailey. Eine Begegnung in diesem Haus ist deshalb eine prüfbare Möglichkeit, kein belegtes Ereignis. Am 6. November 1921 heirateten sie in San Francisco. Maude lebte beim Tod Nelsons im Juli 1948 noch in Santa Rosa; ihr Todesdatum bleibt offen. Addie ist in San-Francisco-Adressbüchern bis 1971 nachweisbar.</w:t>
      </w:r>
    </w:p>
    <w:p>
      <w:pPr>
        <w:spacing w:line="348" w:lineRule="auto" w:after="140"/>
        <w:ind w:firstLine="360"/>
        <w:jc w:val="left"/>
      </w:pPr>
      <w:r>
        <w:t>Für die Datierung sind die beiden Hochzeiten strikt zu unterscheiden: Maude und Ralph Watson am 16. Juni 1902 in Cedar Rapids; Maude und Nelson Bailey am 6. November 1921 in San Francisco. Die Kombination „16. Juni 1921, Cedar Rapids“ darf nicht weiter als belegtes Ereignis erscheinen. [9–10, 47–48]</w:t>
      </w:r>
    </w:p>
    <w:p>
      <w:pPr>
        <w:pStyle w:val="Heading1"/>
      </w:pPr>
      <w:r>
        <w:rPr>
          <w:rFonts w:ascii="Times New Roman" w:hAnsi="Times New Roman" w:eastAsia="Times New Roman"/>
          <w:b/>
          <w:color w:val="000000"/>
          <w:sz w:val="30"/>
        </w:rPr>
        <w:t>Offene Forschungsfragen</w:t>
      </w:r>
    </w:p>
    <w:p>
      <w:pPr>
        <w:pStyle w:val="ListBullet"/>
        <w:spacing w:line="300" w:lineRule="auto" w:after="80"/>
        <w:ind w:left="360" w:hanging="259"/>
      </w:pPr>
      <w:r>
        <w:rPr>
          <w:rFonts w:ascii="Times New Roman" w:hAnsi="Times New Roman" w:eastAsia="Times New Roman"/>
          <w:color w:val="1F2933"/>
          <w:sz w:val="21"/>
        </w:rPr>
        <w:t>Scheidungsindex und Scheidungsakte von Nelson und Addie ermitteln; vorrangig San Francisco und den Zeitraum 1918 bis 6 November 1921 prüfen.</w:t>
      </w:r>
    </w:p>
    <w:p>
      <w:pPr>
        <w:pStyle w:val="ListBullet"/>
        <w:spacing w:line="300" w:lineRule="auto" w:after="80"/>
        <w:ind w:left="360" w:hanging="259"/>
      </w:pPr>
      <w:r>
        <w:rPr>
          <w:rFonts w:ascii="Times New Roman" w:hAnsi="Times New Roman" w:eastAsia="Times New Roman"/>
          <w:color w:val="1F2933"/>
          <w:sz w:val="21"/>
        </w:rPr>
        <w:t>Originalbild des Zensusblatts von 1910 für Youngstown ED 104 Blatt 8B Familie 153 auf Namensform, Ehedauer und Angaben zu geborenen beziehungsweise lebenden Kindern prüfen.</w:t>
      </w:r>
    </w:p>
    <w:p>
      <w:pPr>
        <w:pStyle w:val="ListBullet"/>
        <w:spacing w:line="300" w:lineRule="auto" w:after="80"/>
        <w:ind w:left="360" w:hanging="259"/>
      </w:pPr>
      <w:r>
        <w:rPr>
          <w:rFonts w:ascii="Aptos" w:hAnsi="Aptos"/>
        </w:rPr>
        <w:t>Addies Spur nach 1971 mit kalifornischen Sterberegistern, Nachrufen, Wählerlisten, Krankenhaus- und Heimunterlagen sowie Nachlassakten verfolgen; den Zeitraum 1971 bis 1973 zuerst prüfen.</w:t>
      </w:r>
    </w:p>
    <w:p>
      <w:pPr>
        <w:pStyle w:val="ListBullet"/>
        <w:spacing w:line="300" w:lineRule="auto" w:after="80"/>
        <w:ind w:left="360" w:hanging="259"/>
      </w:pPr>
      <w:r>
        <w:t>Ralph Watsons genaues Todesdatum und seinen Bestattungsort durch Sterbeurkunde, Friedhofsregister oder einen örtlichen Nachruf ermitteln; die Heirat vom 16. Juni 1902 zusätzlich im amtlichen Register von Linn County prüfen. Die Identität des ersten Ehemanns und sein Tod 1915 sind bereits durch Zeitungen belegt.</w:t>
      </w:r>
    </w:p>
    <w:p>
      <w:pPr>
        <w:pStyle w:val="ListBullet"/>
      </w:pPr>
      <w:r>
        <w:t>Passagierlisten und Meldungen zur Honolulu-Reise 1911 prüfen, um Ankunft, Abreise, Dauer und eine mögliche Begleitung festzustellen.</w:t>
      </w:r>
    </w:p>
    <w:p>
      <w:pPr>
        <w:pStyle w:val="ListBullet"/>
      </w:pPr>
      <w:r>
        <w:t>Volkszählung 1920 zu 1143 Larkin im Original prüfen: Alter, Geburtsort, Beruf, Familienstand und Haushaltszuordnung beider Personen mit Nelson Burdette Bailey und Maude Burrell Watson abgleichen. Die Seite ist noch nicht eingesehen. Zusätzlich den N. B. Bailey von Smith &amp; Bailey unabhängig identifizieren; die späteren Musiklehrer-Einträge von 1922 und 1923 lösen diese Frage noch nicht.</w:t>
      </w:r>
    </w:p>
    <w:p>
      <w:pPr>
        <w:pStyle w:val="ListBullet"/>
      </w:pPr>
      <w:r>
        <w:t>Ralphs Arbeitgeber in San Francisco über Adressbücher und Nachrufe identifizieren; der bislang geprüfte Nachruf nennt nur ein führendes Schuhgeschäft.</w:t>
      </w:r>
    </w:p>
    <w:p>
      <w:pPr>
        <w:pStyle w:val="ListBullet"/>
      </w:pPr>
      <w:r>
        <w:t>Santa-Rosa-Adressbuch von 1949 im Original prüfen, insbesondere den Bailey-Abschnitt und das Straßenverzeichnis zu 429 Eighth Street.</w:t>
      </w:r>
    </w:p>
    <w:p>
      <w:pPr>
        <w:pStyle w:val="ListBullet"/>
      </w:pPr>
      <w:r>
        <w:t>Nachlass- oder Probate-Akte Nelson Baileys von 1948 in Sonoma County ermitteln; sie könnte Maudes damalige Anschrift nennen.</w:t>
      </w:r>
    </w:p>
    <w:p>
      <w:pPr>
        <w:pStyle w:val="ListBullet"/>
      </w:pPr>
      <w:r>
        <w:t>Kalifornischen Sterbeindex und Sterbeurkunden nach einer Clara oder Maude Bailey mit Vater Burrell und Mutter Spencer durchsuchen.</w:t>
      </w:r>
    </w:p>
    <w:p>
      <w:pPr>
        <w:pStyle w:val="ListBullet"/>
      </w:pPr>
      <w:r>
        <w:t>Nachrufe von Maudes Geschwistern Arthur Ellsworth Burrell, William Spencer Burrell und Ada Burrell auf Wohnort- oder Überlebendenangaben zu Maude prüfen.</w:t>
      </w:r>
    </w:p>
    <w:p>
      <w:pPr>
        <w:pStyle w:val="ListBullet"/>
        <w:spacing w:line="300" w:lineRule="auto" w:after="80"/>
        <w:ind w:left="360" w:hanging="259"/>
      </w:pPr>
      <w:r>
        <w:rPr>
          <w:rFonts w:ascii="Times New Roman" w:hAnsi="Times New Roman" w:eastAsia="Times New Roman"/>
          <w:color w:val="1F2933"/>
          <w:sz w:val="21"/>
        </w:rPr>
        <w:t>Porträts nur über beschriftete Familienbestände, Nachrufe oder institutionelle Sammlungen mit Provenienz suchen und veröffentlichen.</w:t>
      </w:r>
    </w:p>
    <w:p>
      <w:pPr>
        <w:pStyle w:val="ListBullet"/>
      </w:pPr>
      <w:r>
        <w:t>Negativ BANC PIC 2006.029--NEG Box 618 Sleeve 092707.14 bestellen oder vor Ort prüfen und über Beschriftung, Zeitungsausgabe und die Identität von Jaline Bailey klären, ob Mrs. Nelson Bailey tatsächlich Maude ist.</w:t>
      </w:r>
    </w:p>
    <w:p>
      <w:pPr>
        <w:pStyle w:val="Heading1"/>
      </w:pPr>
      <w:r>
        <w:rPr>
          <w:rFonts w:ascii="Times New Roman" w:hAnsi="Times New Roman" w:eastAsia="Times New Roman"/>
          <w:b/>
          <w:color w:val="000000"/>
          <w:sz w:val="30"/>
        </w:rPr>
        <w:t>Quellen und Belegstellen</w:t>
      </w:r>
    </w:p>
    <w:p>
      <w:pPr>
        <w:spacing w:line="300" w:lineRule="auto" w:after="100"/>
        <w:ind w:left="403" w:hanging="403"/>
      </w:pPr>
      <w:r>
        <w:rPr>
          <w:rFonts w:ascii="Times New Roman" w:hAnsi="Times New Roman" w:eastAsia="Times New Roman"/>
          <w:color w:val="1F2933"/>
          <w:sz w:val="19"/>
        </w:rPr>
        <w:t xml:space="preserve">1. </w:t>
      </w:r>
      <w:hyperlink r:id="rId10">
        <w:r>
          <w:rPr>
            <w:rFonts w:ascii="Times New Roman" w:hAnsi="Times New Roman"/>
            <w:color w:val="2B5D87"/>
            <w:u w:val="single"/>
            <w:sz w:val="19"/>
          </w:rPr>
          <w:t>Ohio marriage record for N Burdette Bailey and Addie M Mentzer 31 August 1904</w:t>
        </w:r>
      </w:hyperlink>
    </w:p>
    <w:p>
      <w:pPr>
        <w:spacing w:line="300" w:lineRule="auto" w:after="100"/>
        <w:ind w:left="403" w:hanging="403"/>
      </w:pPr>
      <w:r>
        <w:rPr>
          <w:rFonts w:ascii="Times New Roman" w:hAnsi="Times New Roman" w:eastAsia="Times New Roman"/>
          <w:color w:val="1F2933"/>
          <w:sz w:val="19"/>
        </w:rPr>
        <w:t xml:space="preserve">2. </w:t>
      </w:r>
      <w:hyperlink r:id="rId11">
        <w:r>
          <w:rPr>
            <w:rFonts w:ascii="Times New Roman" w:hAnsi="Times New Roman"/>
            <w:color w:val="2B5D87"/>
            <w:u w:val="single"/>
            <w:sz w:val="19"/>
          </w:rPr>
          <w:t>Trumbull County biographical sketch of Nelson Burdette Bailey 1909</w:t>
        </w:r>
      </w:hyperlink>
    </w:p>
    <w:p>
      <w:pPr>
        <w:spacing w:line="300" w:lineRule="auto" w:after="100"/>
        <w:ind w:left="403" w:hanging="403"/>
      </w:pPr>
      <w:r>
        <w:rPr>
          <w:rFonts w:ascii="Times New Roman" w:hAnsi="Times New Roman" w:eastAsia="Times New Roman"/>
          <w:color w:val="1F2933"/>
          <w:sz w:val="19"/>
        </w:rPr>
        <w:t xml:space="preserve">3. </w:t>
      </w:r>
      <w:hyperlink r:id="rId12">
        <w:r>
          <w:rPr>
            <w:rFonts w:ascii="Times New Roman" w:hAnsi="Times New Roman"/>
            <w:color w:val="2B5D87"/>
            <w:u w:val="single"/>
            <w:sz w:val="19"/>
          </w:rPr>
          <w:t>United States Census 1910 Youngstown Ohio ED 104 sheet 8B</w:t>
        </w:r>
      </w:hyperlink>
    </w:p>
    <w:p>
      <w:pPr>
        <w:spacing w:line="300" w:lineRule="auto" w:after="100"/>
        <w:ind w:left="403" w:hanging="403"/>
      </w:pPr>
      <w:r>
        <w:rPr>
          <w:rFonts w:ascii="Times New Roman" w:hAnsi="Times New Roman" w:eastAsia="Times New Roman"/>
          <w:color w:val="1F2933"/>
          <w:sz w:val="19"/>
        </w:rPr>
        <w:t xml:space="preserve">4. </w:t>
      </w:r>
      <w:hyperlink r:id="rId13">
        <w:r>
          <w:rPr>
            <w:rFonts w:ascii="Times New Roman" w:hAnsi="Times New Roman"/>
            <w:color w:val="2B5D87"/>
            <w:u w:val="single"/>
            <w:sz w:val="19"/>
          </w:rPr>
          <w:t>Crocker Langley San Francisco Directory 1917</w:t>
        </w:r>
      </w:hyperlink>
    </w:p>
    <w:p>
      <w:pPr>
        <w:spacing w:line="300" w:lineRule="auto" w:after="100"/>
        <w:ind w:left="403" w:hanging="403"/>
      </w:pPr>
      <w:r>
        <w:rPr>
          <w:rFonts w:ascii="Times New Roman" w:hAnsi="Times New Roman" w:eastAsia="Times New Roman"/>
          <w:color w:val="1F2933"/>
          <w:sz w:val="19"/>
        </w:rPr>
        <w:t xml:space="preserve">5. </w:t>
      </w:r>
      <w:hyperlink r:id="rId14">
        <w:r>
          <w:rPr>
            <w:rFonts w:ascii="Times New Roman" w:hAnsi="Times New Roman"/>
            <w:color w:val="2B5D87"/>
            <w:u w:val="single"/>
            <w:sz w:val="19"/>
          </w:rPr>
          <w:t>Crocker Langley San Francisco Directory 1918</w:t>
        </w:r>
      </w:hyperlink>
    </w:p>
    <w:p>
      <w:pPr>
        <w:spacing w:line="300" w:lineRule="auto" w:after="100"/>
        <w:ind w:left="403" w:hanging="403"/>
      </w:pPr>
      <w:r>
        <w:rPr>
          <w:rFonts w:ascii="Times New Roman" w:hAnsi="Times New Roman" w:eastAsia="Times New Roman"/>
          <w:color w:val="1F2933"/>
          <w:sz w:val="19"/>
        </w:rPr>
        <w:t xml:space="preserve">6. </w:t>
      </w:r>
      <w:hyperlink r:id="rId15">
        <w:r>
          <w:rPr>
            <w:rFonts w:ascii="Times New Roman" w:hAnsi="Times New Roman"/>
            <w:color w:val="2B5D87"/>
            <w:u w:val="single"/>
            <w:sz w:val="19"/>
          </w:rPr>
          <w:t>Crocker Langley San Francisco Directory 1919</w:t>
        </w:r>
      </w:hyperlink>
      <w:r>
        <w:t xml:space="preserve"> Erneut im digitalisierten Volltext geprüft: Nelson B. Bailey bei Sherman, Clay &amp; Co., 1720 Broadway. Internet Archive, crockerlangleysa1919sanf, abgerufen 24. September 2026.</w:t>
      </w:r>
    </w:p>
    <w:p>
      <w:pPr>
        <w:spacing w:line="300" w:lineRule="auto" w:after="100"/>
        <w:ind w:left="403" w:hanging="403"/>
      </w:pPr>
      <w:r>
        <w:rPr>
          <w:rFonts w:ascii="Times New Roman" w:hAnsi="Times New Roman" w:eastAsia="Times New Roman"/>
          <w:color w:val="1F2933"/>
          <w:sz w:val="19"/>
        </w:rPr>
        <w:t xml:space="preserve">7. </w:t>
      </w:r>
      <w:hyperlink r:id="rId16">
        <w:r>
          <w:rPr>
            <w:rFonts w:ascii="Times New Roman" w:hAnsi="Times New Roman"/>
            <w:color w:val="2B5D87"/>
            <w:u w:val="single"/>
            <w:sz w:val="19"/>
          </w:rPr>
          <w:t>Crocker Langley San Francisco Directory 1920</w:t>
        </w:r>
      </w:hyperlink>
      <w:r>
        <w:t xml:space="preserve"> Originalscan geprüft: S. 328, rechte Spalte, Nelson B. Bailey mit Firmenzusatz Smith &amp; Bailey, 1143 Larkin; S. 1596, linke Spalte, Maude B. Watson bei Chanslor &amp; Lyon, ebenfalls 1143 Larkin. Digitalisat sanfranciscocali1920polk, Scanpositionen n303 und n1571. Die Personenidentität bleibt unabhängig abzugleichen.</w:t>
      </w:r>
    </w:p>
    <w:p>
      <w:pPr>
        <w:spacing w:line="300" w:lineRule="auto" w:after="100"/>
        <w:ind w:left="403" w:hanging="403"/>
      </w:pPr>
      <w:r>
        <w:rPr>
          <w:rFonts w:ascii="Times New Roman" w:hAnsi="Times New Roman" w:eastAsia="Times New Roman"/>
          <w:color w:val="1F2933"/>
          <w:sz w:val="19"/>
        </w:rPr>
        <w:t xml:space="preserve">8. </w:t>
      </w:r>
      <w:hyperlink r:id="rId17">
        <w:r>
          <w:rPr>
            <w:rFonts w:ascii="Times New Roman" w:hAnsi="Times New Roman"/>
            <w:color w:val="2B5D87"/>
            <w:u w:val="single"/>
            <w:sz w:val="19"/>
          </w:rPr>
          <w:t>Crocker Langley San Francisco Directory 1921</w:t>
        </w:r>
      </w:hyperlink>
      <w:r>
        <w:t xml:space="preserve"> Ergänzend geprüft: Nelson B. Bailey, 3 Clement, ohne Beruf; Firmeneintrag Smith &amp; Bailey mit H. B. Smith und N. B. Bailey, Rechnungswesen, Buchprüfung und Steuerdienstleistungen, 809–815 Claus Spreckels Building, 703 Market. Prüfung im digitalisierten Volltext; keine unabhängige Identifizierung des Firmenpartners.</w:t>
      </w:r>
    </w:p>
    <w:p>
      <w:pPr>
        <w:spacing w:line="300" w:lineRule="auto" w:after="100"/>
        <w:ind w:left="403" w:hanging="403"/>
      </w:pPr>
      <w:r>
        <w:rPr>
          <w:rFonts w:ascii="Times New Roman" w:hAnsi="Times New Roman" w:eastAsia="Times New Roman"/>
          <w:color w:val="1F2933"/>
          <w:sz w:val="19"/>
        </w:rPr>
        <w:t xml:space="preserve">9. </w:t>
      </w:r>
      <w:hyperlink r:id="rId18">
        <w:r>
          <w:rPr>
            <w:rFonts w:ascii="Times New Roman" w:hAnsi="Times New Roman"/>
            <w:color w:val="2B5D87"/>
            <w:u w:val="single"/>
            <w:sz w:val="19"/>
          </w:rPr>
          <w:t>San Francisco marriage record for Nelson Burdette Bailey 6 November 1921</w:t>
        </w:r>
      </w:hyperlink>
    </w:p>
    <w:p>
      <w:pPr>
        <w:spacing w:line="300" w:lineRule="auto" w:after="100"/>
        <w:ind w:left="403" w:hanging="403"/>
      </w:pPr>
      <w:r>
        <w:rPr>
          <w:rFonts w:ascii="Times New Roman" w:hAnsi="Times New Roman" w:eastAsia="Times New Roman"/>
          <w:color w:val="1F2933"/>
          <w:sz w:val="19"/>
        </w:rPr>
        <w:t xml:space="preserve">10. </w:t>
      </w:r>
      <w:hyperlink r:id="rId19">
        <w:r>
          <w:rPr>
            <w:rFonts w:ascii="Times New Roman" w:hAnsi="Times New Roman"/>
            <w:color w:val="2B5D87"/>
            <w:u w:val="single"/>
            <w:sz w:val="19"/>
          </w:rPr>
          <w:t>San Francisco marriage record for Maude Burrell Watson 6 November 1921</w:t>
        </w:r>
      </w:hyperlink>
    </w:p>
    <w:p>
      <w:pPr>
        <w:spacing w:line="300" w:lineRule="auto" w:after="100"/>
        <w:ind w:left="403" w:hanging="403"/>
      </w:pPr>
      <w:r>
        <w:rPr>
          <w:rFonts w:ascii="Times New Roman" w:hAnsi="Times New Roman" w:eastAsia="Times New Roman"/>
          <w:color w:val="1F2933"/>
          <w:sz w:val="19"/>
        </w:rPr>
        <w:t xml:space="preserve">11. </w:t>
      </w:r>
      <w:hyperlink r:id="rId20">
        <w:r>
          <w:rPr>
            <w:rFonts w:ascii="Times New Roman" w:hAnsi="Times New Roman"/>
            <w:color w:val="2B5D87"/>
            <w:u w:val="single"/>
            <w:sz w:val="19"/>
          </w:rPr>
          <w:t>Digital reproduction of the Bailey Watson marriage certificate at bailey ukulele de</w:t>
        </w:r>
      </w:hyperlink>
    </w:p>
    <w:p>
      <w:pPr>
        <w:spacing w:line="300" w:lineRule="auto" w:after="100"/>
        <w:ind w:left="403" w:hanging="403"/>
      </w:pPr>
      <w:r>
        <w:rPr>
          <w:rFonts w:ascii="Times New Roman" w:hAnsi="Times New Roman" w:eastAsia="Times New Roman"/>
          <w:color w:val="1F2933"/>
          <w:sz w:val="19"/>
        </w:rPr>
        <w:t xml:space="preserve">12. </w:t>
      </w:r>
      <w:hyperlink r:id="rId21">
        <w:r>
          <w:rPr>
            <w:rFonts w:ascii="Times New Roman" w:hAnsi="Times New Roman"/>
            <w:color w:val="2B5D87"/>
            <w:u w:val="single"/>
            <w:sz w:val="19"/>
          </w:rPr>
          <w:t>FamilySearch profile of Nelson Burdette Bailey with conflicting name form Adda G Mentzer</w:t>
        </w:r>
      </w:hyperlink>
    </w:p>
    <w:p>
      <w:pPr>
        <w:spacing w:line="300" w:lineRule="auto" w:after="100"/>
        <w:ind w:left="403" w:hanging="403"/>
      </w:pPr>
      <w:r>
        <w:rPr>
          <w:rFonts w:ascii="Times New Roman" w:hAnsi="Times New Roman" w:eastAsia="Times New Roman"/>
          <w:color w:val="1F2933"/>
          <w:sz w:val="19"/>
        </w:rPr>
        <w:t xml:space="preserve">13. </w:t>
      </w:r>
      <w:hyperlink r:id="rId22">
        <w:r>
          <w:rPr>
            <w:rFonts w:ascii="Times New Roman" w:hAnsi="Times New Roman"/>
            <w:color w:val="2B5D87"/>
            <w:u w:val="single"/>
            <w:sz w:val="19"/>
          </w:rPr>
          <w:t>WikiTree profile for Addie M Mentzer Bailey as a compiled secondary reference</w:t>
        </w:r>
      </w:hyperlink>
    </w:p>
    <w:p>
      <w:pPr>
        <w:spacing w:line="300" w:lineRule="auto" w:after="100"/>
        <w:ind w:left="403" w:hanging="403"/>
      </w:pPr>
      <w:r>
        <w:rPr>
          <w:rFonts w:ascii="Aptos" w:hAnsi="Aptos"/>
        </w:rPr>
        <w:t>14. Polk San Francisco directory 1948 or 1949 — frühere positive Spur, durch spätere Bände ergänzt</w:t>
      </w:r>
    </w:p>
    <w:p>
      <w:pPr>
        <w:spacing w:line="300" w:lineRule="auto" w:after="100"/>
        <w:ind w:left="403" w:hanging="403"/>
      </w:pPr>
      <w:r>
        <w:rPr>
          <w:rFonts w:ascii="Times New Roman" w:hAnsi="Times New Roman" w:eastAsia="Times New Roman"/>
          <w:color w:val="1F2933"/>
          <w:sz w:val="19"/>
        </w:rPr>
        <w:t xml:space="preserve">15. </w:t>
      </w:r>
      <w:hyperlink r:id="rId24">
        <w:r>
          <w:rPr>
            <w:rFonts w:ascii="Times New Roman" w:hAnsi="Times New Roman"/>
            <w:color w:val="2B5D87"/>
            <w:u w:val="single"/>
            <w:sz w:val="19"/>
          </w:rPr>
          <w:t>United States Census 1950 sheet for 685 Geary San Francisco</w:t>
        </w:r>
      </w:hyperlink>
    </w:p>
    <w:p>
      <w:pPr>
        <w:spacing w:line="300" w:lineRule="auto" w:after="100"/>
        <w:ind w:left="403" w:hanging="403"/>
      </w:pPr>
      <w:r>
        <w:rPr>
          <w:rFonts w:ascii="Times New Roman" w:hAnsi="Times New Roman" w:eastAsia="Times New Roman"/>
          <w:color w:val="1F2933"/>
          <w:sz w:val="19"/>
        </w:rPr>
        <w:t xml:space="preserve">16. </w:t>
      </w:r>
      <w:hyperlink r:id="rId25">
        <w:r>
          <w:rPr>
            <w:rFonts w:ascii="Times New Roman" w:hAnsi="Times New Roman"/>
            <w:color w:val="2B5D87"/>
            <w:u w:val="single"/>
            <w:sz w:val="19"/>
          </w:rPr>
          <w:t>United States Census 1950 continuation sheet for 685 Geary San Francisco</w:t>
        </w:r>
      </w:hyperlink>
    </w:p>
    <w:p>
      <w:pPr>
        <w:spacing w:line="300" w:lineRule="auto" w:after="100"/>
        <w:ind w:left="403" w:hanging="403"/>
      </w:pPr>
      <w:r>
        <w:rPr>
          <w:rFonts w:ascii="Aptos" w:hAnsi="Aptos"/>
        </w:rPr>
        <w:t>17. Polk San Francisco directory 1951 — Addie im geprüften Bailey-Abschnitt nicht gefunden</w:t>
      </w:r>
    </w:p>
    <w:p>
      <w:pPr>
        <w:spacing w:line="300" w:lineRule="auto" w:after="100"/>
        <w:ind w:left="403" w:hanging="403"/>
      </w:pPr>
      <w:r>
        <w:rPr>
          <w:rFonts w:ascii="Aptos" w:hAnsi="Aptos"/>
        </w:rPr>
        <w:t>18. Polk San Francisco directory 1953 — OCR-Prüfung ohne eindeutigen Addie-Eintrag</w:t>
      </w:r>
    </w:p>
    <w:p>
      <w:pPr>
        <w:spacing w:line="300" w:lineRule="auto" w:after="100"/>
        <w:ind w:left="403" w:hanging="403"/>
      </w:pPr>
      <w:r>
        <w:rPr>
          <w:rFonts w:ascii="Aptos" w:hAnsi="Aptos"/>
        </w:rPr>
        <w:t>19. Polk San Francisco directory 1954 — 685 Geary, Apartment 305, PR 5-8315</w:t>
      </w:r>
    </w:p>
    <w:p>
      <w:pPr/>
      <w:r>
        <w:rPr>
          <w:rFonts w:ascii="Aptos" w:hAnsi="Aptos"/>
        </w:rPr>
        <w:t>20. Polk San Francisco directory 1957 — 685 Geary, Apartment 305, PR 5-8315</w:t>
      </w:r>
    </w:p>
    <w:p>
      <w:pPr/>
      <w:r>
        <w:rPr>
          <w:rFonts w:ascii="Aptos" w:hAnsi="Aptos"/>
        </w:rPr>
        <w:t>21. Polk San Francisco directory 1958 — Maude M. Watson, 439 Steiner, ausdrücklich Witwe von George; Ausschluss der Namensspur</w:t>
      </w:r>
    </w:p>
    <w:p>
      <w:pPr/>
      <w:r>
        <w:rPr>
          <w:rFonts w:ascii="Aptos" w:hAnsi="Aptos"/>
        </w:rPr>
        <w:t>22. Polk San Francisco directory 1959 — Addie M. Bailey, 685 Geary, Apartment 305</w:t>
      </w:r>
    </w:p>
    <w:p>
      <w:pPr/>
      <w:r>
        <w:rPr>
          <w:rFonts w:ascii="Aptos" w:hAnsi="Aptos"/>
        </w:rPr>
        <w:t>23. Polk San Francisco directory 1961 — 685 Geary, Apartment 305, PR 5-8315</w:t>
      </w:r>
    </w:p>
    <w:p>
      <w:pPr/>
      <w:r>
        <w:rPr>
          <w:rFonts w:ascii="Aptos" w:hAnsi="Aptos"/>
        </w:rPr>
        <w:t>24. Polk San Francisco directory 1962 — Addie M. Bailey, 685 Geary, Apartment 305</w:t>
      </w:r>
    </w:p>
    <w:p>
      <w:pPr/>
      <w:r>
        <w:rPr>
          <w:rFonts w:ascii="Aptos" w:hAnsi="Aptos"/>
        </w:rPr>
        <w:t>25. Polk San Francisco directory 1964–1965 — Addie M. Bailey, im Ruhestand, 685 Geary, Apartment 305</w:t>
      </w:r>
    </w:p>
    <w:p>
      <w:pPr/>
      <w:r>
        <w:rPr>
          <w:rFonts w:ascii="Aptos" w:hAnsi="Aptos"/>
        </w:rPr>
        <w:t>26. Polk San Francisco directory 1966 — Addie M. Bailey, im Ruhestand, 685 Geary, Apartment 305</w:t>
      </w:r>
    </w:p>
    <w:p>
      <w:pPr/>
      <w:r>
        <w:rPr>
          <w:rFonts w:ascii="Aptos" w:hAnsi="Aptos"/>
        </w:rPr>
        <w:t>27. Polk San Francisco directory 1967 — Addie M. Bailey, im Ruhestand, 685 Geary, Apartment 305</w:t>
      </w:r>
    </w:p>
    <w:p>
      <w:pPr/>
      <w:r>
        <w:rPr>
          <w:rFonts w:ascii="Aptos" w:hAnsi="Aptos"/>
        </w:rPr>
        <w:t>28. Polk San Francisco directory 1968 — Addie M. Bailey, 685 Geary, Apartment 305, Telefon 775-8315</w:t>
      </w:r>
    </w:p>
    <w:p>
      <w:pPr/>
      <w:r>
        <w:rPr>
          <w:rFonts w:ascii="Aptos" w:hAnsi="Aptos"/>
        </w:rPr>
        <w:t>29. Polk San Francisco directory 1969–1970 — Addie M. Bailey, 685 Geary, Apartment 305</w:t>
      </w:r>
    </w:p>
    <w:p>
      <w:pPr/>
      <w:r>
        <w:rPr>
          <w:rFonts w:ascii="Aptos" w:hAnsi="Aptos"/>
        </w:rPr>
        <w:t>30. Polk San Francisco directory 1971 — Addie M. Bailey, 685 Geary, Apartment 305</w:t>
      </w:r>
    </w:p>
    <w:p>
      <w:pPr/>
      <w:r>
        <w:rPr>
          <w:rFonts w:ascii="Aptos" w:hAnsi="Aptos"/>
        </w:rPr>
        <w:t>31. Polk San Francisco directory 1972 — Addie an 685 Geary nicht mehr verzeichnet</w:t>
      </w:r>
    </w:p>
    <w:p>
      <w:pPr/>
      <w:r>
        <w:rPr>
          <w:rFonts w:ascii="Aptos" w:hAnsi="Aptos"/>
        </w:rPr>
        <w:t>32. Polk San Francisco directory 1973 — Addie an 685 Geary weiterhin nicht verzeichnet</w:t>
      </w:r>
    </w:p>
    <w:p>
      <w:pPr/>
      <w:r>
        <w:rPr>
          <w:rFonts w:ascii="Aptos" w:hAnsi="Aptos"/>
        </w:rPr>
        <w:t>33. Online Archive of California catalogue record Miss Jaline Bailey and Mrs Nelson Bailey May 1935 BANC PIC 2006.029--NEG Box 618 Sleeve 092707.14</w:t>
      </w:r>
    </w:p>
    <w:p>
      <w:pPr/>
      <w:r>
        <w:rPr>
          <w:rFonts w:ascii="Aptos" w:hAnsi="Aptos"/>
        </w:rPr>
        <w:t>34. Online Archive of California collection guide Examiner San Francisco Photograph Archive Negative Files circa 1930 to 2000 access and licensing terms</w:t>
      </w:r>
    </w:p>
    <w:p>
      <w:r>
        <w:rPr>
          <w:rFonts w:ascii="Aptos" w:hAnsi="Aptos"/>
        </w:rPr>
        <w:t>35. University of California, Berkeley: Blue and Gold, Jahrgang 1934, Namenseintrag „Jaline L. Bailey“ (biografische Spur; keine belegte Verbindung zu Nelson Burdette Bailey).</w:t>
      </w:r>
    </w:p>
    <w:p>
      <w:r>
        <w:rPr>
          <w:rFonts w:ascii="Aptos" w:hAnsi="Aptos"/>
        </w:rPr>
        <w:t>36. The Sacramento Bee / Legacy: Nachruf auf Jaline Lloyd Bailey Twaddell (1913–2006; biografische Spur; keine belegte Verbindung zu Nelson Burdette Bailey).</w:t>
      </w:r>
    </w:p>
    <w:p>
      <w:r>
        <w:t>37. Press Democrat, Santa Rosa, 25. Juli 1948, Todesanzeige für Nelson Bert Bailey; nennt Maude Bailey als Ehefrau in Santa Rosa.</w:t>
      </w:r>
    </w:p>
    <w:p>
      <w:r>
        <w:t>38. National Archives, 1950 Census, California, Sonoma County, Santa Rosa, Enumeration District 49-75, 37 Seiten; Namens- und OCR-Prüfung zu Bailey, Maude und Clara.</w:t>
      </w:r>
    </w:p>
    <w:p>
      <w:r>
        <w:t>39. National Archives, 1950 Census, Enumeration District 49-76; Bezirksbeschreibung Ursuline Convent of the Sacred Heart.</w:t>
      </w:r>
    </w:p>
    <w:p>
      <w:r>
        <w:t>40. Polk's Santa Rosa City Directory 1958; kein eindeutig passender Eintrag für Maude oder Clara Bailey im geprüften Bestand.</w:t>
      </w:r>
    </w:p>
    <w:p>
      <w:r>
        <w:t>41. Brookings-Harbor Pilot, 25. Januar 1951, Seite 5, Nachruf Bertha M. Wood; nennt Etta Walker, Clara Bailey von Fort Dick und Ira B. Walker als Geschwister sowie Henry und Mary Walker als Eltern Berthas.</w:t>
      </w:r>
    </w:p>
    <w:p>
      <w:r>
        <w:t>42. Brookings-Harbor Pilot, 9. April 1953 und 5. November 1953; nennt Etta Walker als Schwester der Clara Bailey von Fort Dick.</w:t>
      </w:r>
    </w:p>
    <w:p>
      <w:r>
        <w:t>43. Emeryville Historical Society, Unternehmensgeschichte der Charles M. Bailey Company; Maude Bailey als Ehefrau von Charles M. Bailey und spätere Präsidentin, gestorben 1976.</w:t>
      </w:r>
    </w:p>
    <w:p>
      <w:r>
        <w:t>44. Oakland City Directory 1967; Maude R. Bailey als Präsidentin und Schatzmeisterin der Charles M. Bailey Company.</w:t>
      </w:r>
    </w:p>
    <w:p>
      <w:r>
        <w:t>45. FamilySearch, California Death Index 1940–1997, Sammlungsbeschreibung; enthält unter anderem Geburtsdaten, Sterbeort, Vatersnamen und Mädchennamen der Mutter.</w:t>
      </w:r>
    </w:p>
    <w:p>
      <w:r>
        <w:t>46. LDSGenealogy, Santa Rosa City Directories; bibliografischer Nachweis der Ausgabe von 1949 bei MyHeritage und Ancestry. Der konkrete Eintrag wurde noch nicht im Original geprüft.</w:t>
      </w:r>
    </w:p>
    <w:p>
      <w:pPr>
        <w:keepNext/>
      </w:pPr>
      <w:r>
        <w:t>47. The Vinton Review. „Burrell—Watson“. 19. Juni 1902, S. 5. Mit Quellenvermerk Cedar Rapids Gazette. Originalscan geprüft; nennt Clara Maude Burrell, R. N. Watson, Trinity-Pfarrhaus, Uhrzeit und Reiseplanung.</w:t>
      </w:r>
    </w:p>
    <w:p>
      <w:hyperlink r:id="rId29">
        <w:r>
          <w:rPr>
            <w:u w:val="single"/>
          </w:rPr>
          <w:t>Digitalisat im Zeitungsarchiv von Benton County</w:t>
        </w:r>
      </w:hyperlink>
    </w:p>
    <w:p>
      <w:pPr>
        <w:keepNext/>
      </w:pPr>
      <w:r>
        <w:t>48. The Vinton Eagle. Urbana Items. 20. Juni 1902, S. 5. Originalscan geprüft; nennt Maud Burrell, Ralph Watson, den 16. Juni, Cedar Rapids, N. A. Mershon, Excelsior Springs und das Schuhgeschäft in Fort Dodge.</w:t>
      </w:r>
    </w:p>
    <w:p>
      <w:hyperlink r:id="rId30">
        <w:r>
          <w:rPr>
            <w:u w:val="single"/>
          </w:rPr>
          <w:t>Digitalisat im Zeitungsarchiv von Benton County</w:t>
        </w:r>
      </w:hyperlink>
    </w:p>
    <w:p>
      <w:pPr>
        <w:keepNext/>
      </w:pPr>
      <w:r>
        <w:t>49. The Vinton Review. „Former Vinton Boy Dead“. 4. November 1915, S. 1. Originalscan einschließlich vergrößertem Ausschnitt geprüft. Nachruf auf Ralph Watson mit Ehefrau, Herkunft, Umzug, Beruf, Todesursache, Altersangabe und Bestattung.</w:t>
      </w:r>
    </w:p>
    <w:p>
      <w:hyperlink r:id="rId31">
        <w:r>
          <w:rPr>
            <w:u w:val="single"/>
          </w:rPr>
          <w:t>Digitalisat im Zeitungsarchiv von Benton County</w:t>
        </w:r>
      </w:hyperlink>
    </w:p>
    <w:p>
      <w:pPr>
        <w:keepNext/>
      </w:pPr>
      <w:r>
        <w:t>50. The Vinton Review. Lokalnachrichten zu Ralph Watson und seiner Frau sowie Urbana-Rubrik. 23. März 1905, S. 8. Meldet den Besuch bei den Eltern der Ehefrau, Mr. und Mrs. J. D. Burrell.</w:t>
      </w:r>
    </w:p>
    <w:p>
      <w:hyperlink r:id="rId32">
        <w:r>
          <w:rPr>
            <w:u w:val="single"/>
          </w:rPr>
          <w:t>Digitalisat im Zeitungsarchiv von Benton County</w:t>
        </w:r>
      </w:hyperlink>
    </w:p>
    <w:p>
      <w:pPr>
        <w:keepNext/>
      </w:pPr>
      <w:r>
        <w:t>51. The Vinton Eagle. Nachruf auf Jay D. Burrell. 26. August 1910, S. 1. Nennt Tochter Mrs. Maude Watson in San Francisco, Kalifornien.</w:t>
      </w:r>
    </w:p>
    <w:p>
      <w:hyperlink r:id="rId33">
        <w:r>
          <w:rPr>
            <w:u w:val="single"/>
          </w:rPr>
          <w:t>Digitalisat im Zeitungsarchiv von Benton County</w:t>
        </w:r>
      </w:hyperlink>
    </w:p>
    <w:p>
      <w:pPr>
        <w:keepNext/>
      </w:pPr>
      <w:r>
        <w:t>52. The Vinton Eagle. Urbana-Rubrik. 30. Juni 1911, S. 5. Originalscan geprüft; meldet Maude Burrell Watsons Rückkehr aus Honolulu und ihre Adresse 493 Haight Street in San Francisco.</w:t>
      </w:r>
    </w:p>
    <w:p>
      <w:hyperlink r:id="rId34">
        <w:r>
          <w:rPr>
            <w:u w:val="single"/>
          </w:rPr>
          <w:t>Digitalisat im Zeitungsarchiv von Benton County</w:t>
        </w:r>
      </w:hyperlink>
    </w:p>
    <w:p>
      <w:pPr>
        <w:keepNext/>
      </w:pPr>
      <w:r>
        <w:t>53. The Vinton Review. Nachruf auf Josephine Spencer Burrell. 1. März 1917, S. 8. Nennt Maude Watson unter den überlebenden Kindern; berichtet, dass alle acht überlebenden Kinder beim Tod der Mutter anwesend waren.</w:t>
      </w:r>
    </w:p>
    <w:p>
      <w:hyperlink r:id="rId35">
        <w:r>
          <w:rPr>
            <w:u w:val="single"/>
          </w:rPr>
          <w:t>Digitalisat im Zeitungsarchiv von Benton County</w:t>
        </w:r>
      </w:hyperlink>
    </w:p>
    <w:p>
      <w:pPr>
        <w:spacing w:line="300" w:lineRule="auto" w:after="100"/>
        <w:ind w:left="403" w:hanging="403"/>
      </w:pPr>
      <w:pPr/>
      <w:r>
        <w:rPr>
          <w:sz w:val="19"/>
        </w:rPr>
        <w:t>54. Crocker-Langley San Francisco Directory 1922. Alphabetischer Eintrag Nelson B. Bailey, Musiklehrer, 560 Geary. Originalseitenbild geprüft am 24. September 2026. SFgenealogy, Einzeldatei 1922_231.pdf.</w:t>
      </w:r>
      <w:r>
        <w:t xml:space="preserve"> </w:t>
      </w:r>
      <w:hyperlink r:id="rId36">
        <w:r>
          <w:rPr>
            <w:color w:val="2B5D87"/>
          </w:rPr>
          <w:t>Digitalisierte Adressbuchseite</w:t>
        </w:r>
      </w:hyperlink>
    </w:p>
    <w:p>
      <w:pPr>
        <w:spacing w:line="300" w:lineRule="auto" w:after="100"/>
        <w:ind w:left="403" w:hanging="403"/>
      </w:pPr>
      <w:pPr/>
      <w:r>
        <w:rPr>
          <w:sz w:val="19"/>
        </w:rPr>
        <w:t>55. Crocker-Langley San Francisco Directory 1923. S. 2102, Rubrik Teachers—Music: N. B. Bailey, 560 Geary. Originalseitenbild geprüft am 24. September 2026. SFgenealogy, Einzeldatei 1923_2056.pdf.</w:t>
      </w:r>
      <w:r>
        <w:t xml:space="preserve"> </w:t>
      </w:r>
      <w:hyperlink r:id="rId37">
        <w:r>
          <w:rPr>
            <w:color w:val="2B5D87"/>
          </w:rPr>
          <w:t>Digitalisierte Adressbuchseite</w:t>
        </w:r>
      </w:hyperlink>
    </w:p>
    <w:sectPr w:rsidR="00FC693F" w:rsidRPr="0006063C" w:rsidSect="00034616">
      <w:footerReference w:type="default" r:id="rId9"/>
      <w:pgSz w:w="12240" w:h="15840"/>
      <w:pgMar w:top="1123" w:right="1181" w:bottom="1037" w:left="1267" w:header="432" w:footer="49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52606D"/>
        <w:sz w:val="18"/>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48" w:lineRule="auto" w:after="140"/>
      <w:jc w:val="left"/>
    </w:pPr>
    <w:rPr>
      <w:rFonts w:ascii="Times New Roman" w:hAnsi="Times New Roman"/>
      <w:color w:val="1F2933"/>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40"/>
      <w:outlineLvl w:val="0"/>
    </w:pPr>
    <w:rPr>
      <w:rFonts w:asciiTheme="majorHAnsi" w:eastAsiaTheme="majorEastAsia" w:hAnsiTheme="majorHAnsi" w:cstheme="majorBidi" w:ascii="Times New Roman" w:hAnsi="Times New Roman"/>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Times New Roman" w:hAnsi="Times New Roman"/>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jc w:val="left"/>
    </w:pPr>
    <w:rPr>
      <w:rFonts w:asciiTheme="majorHAnsi" w:eastAsiaTheme="majorEastAsia" w:hAnsiTheme="majorHAnsi" w:cstheme="majorBidi" w:ascii="Times New Roman" w:hAnsi="Times New Roman"/>
      <w:b/>
      <w:color w:val="000000"/>
      <w:spacing w:val="5"/>
      <w:kern w:val="28"/>
      <w:sz w:val="41"/>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Times New Roman" w:hAnsi="Times New Roman"/>
      <w:sz w:val="21"/>
    </w:rPr>
  </w:style>
  <w:style w:type="paragraph" w:styleId="ListBullet2">
    <w:name w:val="List Bullet 2"/>
    <w:basedOn w:val="Normal"/>
    <w:uiPriority w:val="99"/>
    <w:unhideWhenUsed/>
    <w:rsid w:val="00326F90"/>
    <w:pPr>
      <w:numPr>
        <w:numId w:val="2"/>
      </w:numPr>
      <w:contextualSpacing/>
    </w:pPr>
    <w:rPr>
      <w:rFonts w:ascii="Times New Roman" w:hAnsi="Times New Roman"/>
      <w:sz w:val="21"/>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familysearch.org/ark:/61903/1:1:X8MT-RW5" TargetMode="External"/><Relationship Id="rId11" Type="http://schemas.openxmlformats.org/officeDocument/2006/relationships/hyperlink" Target="https://www.ohiogenealogyexpress.com/trumbull/trumbullco_bios_1909/trumbullco_bios_1909_b.htm" TargetMode="External"/><Relationship Id="rId12" Type="http://schemas.openxmlformats.org/officeDocument/2006/relationships/hyperlink" Target="https://familysearch.org/ark:/61903/1:1:MLXD-S1G" TargetMode="External"/><Relationship Id="rId13" Type="http://schemas.openxmlformats.org/officeDocument/2006/relationships/hyperlink" Target="https://archive.org/details/crockerlangleysa1917sanf" TargetMode="External"/><Relationship Id="rId14" Type="http://schemas.openxmlformats.org/officeDocument/2006/relationships/hyperlink" Target="https://archive.org/details/crockerlangleysa1918sanfrich" TargetMode="External"/><Relationship Id="rId15" Type="http://schemas.openxmlformats.org/officeDocument/2006/relationships/hyperlink" Target="https://archive.org/details/crockerlangleysa1919sanf" TargetMode="External"/><Relationship Id="rId16" Type="http://schemas.openxmlformats.org/officeDocument/2006/relationships/hyperlink" Target="https://archive.org/details/crockerlangleysa1920rlpo" TargetMode="External"/><Relationship Id="rId17" Type="http://schemas.openxmlformats.org/officeDocument/2006/relationships/hyperlink" Target="https://archive.org/details/crockerlangleysa1921rlpo" TargetMode="External"/><Relationship Id="rId18" Type="http://schemas.openxmlformats.org/officeDocument/2006/relationships/hyperlink" Target="https://familysearch.org/ark:/61903/1:1:QL4B-JN2Z" TargetMode="External"/><Relationship Id="rId19" Type="http://schemas.openxmlformats.org/officeDocument/2006/relationships/hyperlink" Target="https://familysearch.org/ark:/61903/1:1:QL4B-JNLT" TargetMode="External"/><Relationship Id="rId20" Type="http://schemas.openxmlformats.org/officeDocument/2006/relationships/hyperlink" Target="https://www.bailey-ukulele.de/nelson-burdette-bailey" TargetMode="External"/><Relationship Id="rId21" Type="http://schemas.openxmlformats.org/officeDocument/2006/relationships/hyperlink" Target="https://ancestors.familysearch.org/en/GS44-CZP/nelson-burdette-bailey-1874-1948" TargetMode="External"/><Relationship Id="rId22" Type="http://schemas.openxmlformats.org/officeDocument/2006/relationships/hyperlink" Target="https://www.wikitree.com/wiki/Bailey-34751" TargetMode="External"/><Relationship Id="rId23" Type="http://schemas.openxmlformats.org/officeDocument/2006/relationships/hyperlink" Target="https://archive.org/details/polkscrockerlang194849dire" TargetMode="External"/><Relationship Id="rId24" Type="http://schemas.openxmlformats.org/officeDocument/2006/relationships/hyperlink" Target="https://nara-1950-census.s3.us-east-2.amazonaws.com/1950census/43290879-California/43290879-California-043571/43290879-California-043571-0017.jpg" TargetMode="External"/><Relationship Id="rId25" Type="http://schemas.openxmlformats.org/officeDocument/2006/relationships/hyperlink" Target="https://nara-1950-census.s3.us-east-2.amazonaws.com/1950census/43290879-California/43290879-California-043571/43290879-California-043571-0018.jpg" TargetMode="External"/><Relationship Id="rId26" Type="http://schemas.openxmlformats.org/officeDocument/2006/relationships/hyperlink" Target="https://archive.org/details/polkssanfrancisc194849rlpo" TargetMode="External"/><Relationship Id="rId27" Type="http://schemas.openxmlformats.org/officeDocument/2006/relationships/hyperlink" Target="https://archive.org/details/polkssanfrancisc1953rlpo/" TargetMode="External"/><Relationship Id="rId28" Type="http://schemas.openxmlformats.org/officeDocument/2006/relationships/hyperlink" Target="https://archive.org/details/polkssanfrancisc1954rlpo/" TargetMode="External"/><Relationship Id="rId29" Type="http://schemas.openxmlformats.org/officeDocument/2006/relationships/hyperlink" Target="https://bentoncounty.advantage-preservation.com/viewer/?fn=vinton_review_usa_iowa_vinton_19020619_english_5" TargetMode="External"/><Relationship Id="rId30" Type="http://schemas.openxmlformats.org/officeDocument/2006/relationships/hyperlink" Target="https://bentoncounty.advantage-preservation.com/viewer/?fn=the_vinton_eagle_usa_iowa_vinton_19020620_english_5" TargetMode="External"/><Relationship Id="rId31" Type="http://schemas.openxmlformats.org/officeDocument/2006/relationships/hyperlink" Target="https://bentoncounty.advantage-preservation.com/viewer/?fn=vinton_review_usa_iowa_vinton_19151104_english_1" TargetMode="External"/><Relationship Id="rId32" Type="http://schemas.openxmlformats.org/officeDocument/2006/relationships/hyperlink" Target="https://bentoncounty.advantage-preservation.com/viewer/?fn=vinton_review_usa_iowa_vinton_19050323_english_8" TargetMode="External"/><Relationship Id="rId33" Type="http://schemas.openxmlformats.org/officeDocument/2006/relationships/hyperlink" Target="https://bentoncounty.advantage-preservation.com/viewer/?fn=the_vinton_eagle_usa_iowa_vinton_19100826_english_1" TargetMode="External"/><Relationship Id="rId34" Type="http://schemas.openxmlformats.org/officeDocument/2006/relationships/hyperlink" Target="https://bentoncounty.advantage-preservation.com/viewer/?fn=the_vinton_eagle_usa_iowa_vinton_19110630_english_5" TargetMode="External"/><Relationship Id="rId35" Type="http://schemas.openxmlformats.org/officeDocument/2006/relationships/hyperlink" Target="https://bentoncounty.advantage-preservation.com/viewer/?fn=vinton_review_usa_iowa_vinton_19170301_english_8" TargetMode="External"/><Relationship Id="rId36" Type="http://schemas.openxmlformats.org/officeDocument/2006/relationships/hyperlink" Target="https://library.sfgenealogy.org/directory/san-francisco-county-directory/1922/1922_231.pdf" TargetMode="External"/><Relationship Id="rId37" Type="http://schemas.openxmlformats.org/officeDocument/2006/relationships/hyperlink" Target="https://www.library.sfgenealogy.org/directory/san-francisco-county-directory/1923/1923_205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Ergebnisse zu den Ehefrauen von Nelson Burdette Bailey</dc:title>
  <dc:subject>Addie Mentzer und Maude Burrell Watson Bailey mit neuen Primärbelegen zur Ehe mit Ralph Watson</dc:subject>
  <dc:creator>python-docx</dc:creator>
  <cp:keywords>Nelson Burdette Bailey, Addie M Mentzer, Maude Burrell Watson, San Francisco</cp:keywords>
  <dc:description>generated by python-docx</dc:description>
  <cp:lastModifiedBy/>
  <cp:revision>1</cp:revision>
  <dcterms:created xsi:type="dcterms:W3CDTF">2013-12-23T23:15:00Z</dcterms:created>
  <dcterms:modified xsi:type="dcterms:W3CDTF">2013-12-23T23:15:00Z</dcterms:modified>
  <cp:category/>
</cp:coreProperties>
</file>