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720"/>
      </w:pPr>
    </w:p>
    <w:p>
      <w:pPr>
        <w:spacing w:after="320"/>
        <w:jc w:val="center"/>
      </w:pPr>
      <w:r>
        <w:rPr>
          <w:rFonts w:ascii="Calibri" w:hAnsi="Calibri" w:eastAsia="Calibri"/>
          <w:b/>
          <w:color w:val="9B7A32"/>
          <w:sz w:val="21"/>
        </w:rPr>
        <w:t>FORSCHUNGSNOTIZ</w:t>
      </w:r>
    </w:p>
    <w:p>
      <w:pPr>
        <w:spacing w:after="200"/>
        <w:jc w:val="center"/>
      </w:pPr>
      <w:r>
        <w:rPr>
          <w:rFonts w:ascii="Times New Roman" w:hAnsi="Times New Roman" w:eastAsia="Times New Roman"/>
          <w:b/>
          <w:color w:val="203748"/>
          <w:sz w:val="56"/>
        </w:rPr>
        <w:t>Nelson B. Baileys US-Patente</w:t>
      </w:r>
    </w:p>
    <w:p>
      <w:pPr>
        <w:spacing w:after="520"/>
        <w:jc w:val="center"/>
      </w:pPr>
      <w:r>
        <w:rPr>
          <w:rFonts w:ascii="Times New Roman" w:hAnsi="Times New Roman" w:eastAsia="Times New Roman"/>
          <w:color w:val="2E5E78"/>
          <w:sz w:val="30"/>
        </w:rPr>
        <w:t>Nutzung, technische Kontinuität und Reichweite</w:t>
        <w:br/>
        <w:t>von 1915 bis 2026</w:t>
      </w:r>
    </w:p>
    <w:p>
      <w:pPr>
        <w:spacing w:after="560"/>
        <w:jc w:val="center"/>
      </w:pPr>
      <w:r>
        <w:rPr>
          <w:rFonts w:ascii="Calibri" w:hAnsi="Calibri" w:eastAsia="Calibri"/>
          <w:color w:val="9B7A32"/>
          <w:sz w:val="30"/>
        </w:rPr>
        <w:t>———</w:t>
      </w:r>
    </w:p>
    <w:p>
      <w:pPr>
        <w:spacing w:after="1440"/>
        <w:jc w:val="center"/>
      </w:pPr>
      <w:r>
        <w:rPr>
          <w:rFonts w:ascii="Times New Roman" w:hAnsi="Times New Roman" w:eastAsia="Times New Roman"/>
          <w:i/>
          <w:color w:val="666666"/>
          <w:sz w:val="23"/>
        </w:rPr>
        <w:t>Ausführliche Zusammenfassung auf Grundlage</w:t>
        <w:br/>
        <w:t>des bereitgestellten Ausgangstextes</w:t>
      </w:r>
    </w:p>
    <w:p>
      <w:pPr>
        <w:spacing w:after="80"/>
        <w:jc w:val="center"/>
      </w:pPr>
      <w:r>
        <w:rPr>
          <w:rFonts w:ascii="Times New Roman" w:hAnsi="Times New Roman" w:eastAsia="Times New Roman"/>
          <w:b/>
          <w:color w:val="203748"/>
          <w:sz w:val="24"/>
        </w:rPr>
        <w:t>Für Andreas Fischer</w:t>
      </w:r>
    </w:p>
    <w:p>
      <w:pPr>
        <w:jc w:val="center"/>
      </w:pPr>
      <w:r>
        <w:rPr>
          <w:rFonts w:ascii="Times New Roman" w:hAnsi="Times New Roman" w:eastAsia="Times New Roman"/>
          <w:color w:val="666666"/>
          <w:sz w:val="21"/>
        </w:rPr>
        <w:t>Stand: 18. August 2026</w:t>
      </w:r>
    </w:p>
    <w:p>
      <w:r>
        <w:br w:type="page"/>
      </w:r>
    </w:p>
    <w:tbl>
      <w:tblPr>
        <w:tblW w:type="dxa" w:w="9072"/>
        <w:jc w:val="left"/>
        <w:tblLayout w:type="fixed"/>
        <w:tblLook w:firstColumn="1" w:firstRow="1" w:lastColumn="0" w:lastRow="0" w:noHBand="0" w:noVBand="1" w:val="04A0"/>
        <w:tblInd w:w="120" w:type="dxa"/>
        <w:tblBorders>
          <w:top w:val="single" w:sz="4" w:space="0" w:color="AEBBC4"/>
          <w:left w:val="single" w:sz="4" w:space="0" w:color="AEBBC4"/>
          <w:bottom w:val="single" w:sz="4" w:space="0" w:color="AEBBC4"/>
          <w:right w:val="single" w:sz="4" w:space="0" w:color="AEBBC4"/>
          <w:insideH w:val="single" w:sz="4" w:space="0" w:color="AEBBC4"/>
          <w:insideV w:val="single" w:sz="4" w:space="0" w:color="AEBBC4"/>
        </w:tblBorders>
      </w:tblPr>
      <w:tblGrid>
        <w:gridCol w:w="9072"/>
      </w:tblGrid>
      <w:tr>
        <w:tc>
          <w:tcPr>
            <w:tcW w:type="dxa" w:w="9072"/>
            <w:tcMar>
              <w:top w:w="100" w:type="dxa"/>
              <w:start w:w="120" w:type="dxa"/>
              <w:bottom w:w="100" w:type="dxa"/>
              <w:end w:w="120" w:type="dxa"/>
            </w:tcMar>
            <w:vAlign w:val="center"/>
            <w:shd w:fill="F4F6F9"/>
          </w:tcPr>
          <w:p>
            <w:pPr>
              <w:spacing w:before="40" w:after="40" w:line="300" w:lineRule="auto"/>
            </w:pPr>
            <w:r>
              <w:rPr>
                <w:rFonts w:ascii="Times New Roman" w:hAnsi="Times New Roman" w:eastAsia="Times New Roman"/>
                <w:b/>
                <w:color w:val="1F4D78"/>
                <w:sz w:val="22"/>
              </w:rPr>
              <w:t xml:space="preserve">Hinweis zur Quellenlage: </w:t>
            </w:r>
            <w:r>
              <w:rPr>
                <w:rFonts w:ascii="Times New Roman" w:hAnsi="Times New Roman" w:eastAsia="Times New Roman"/>
                <w:color w:val="111111"/>
                <w:sz w:val="22"/>
              </w:rPr>
              <w:t>Diese Zusammenfassung erweitert und ordnet ausschließlich den vom Nutzer bereitgestellten Text, der seinerseits als KI-generierte Acrobat-Zusammenfassung gekennzeichnet war. Die drei Patentbezeichnungen, die Jahreszahlen späterer Patente und die genannten Herstellerbezüge werden hier nicht unabhängig verifiziert. Wo der Ausgangstext technische Abstammung oder eine direkte Weiterentwicklung behauptet, wird dies deshalb als These des untersuchten Dokuments kenntlich gemacht.</w:t>
            </w:r>
          </w:p>
        </w:tc>
      </w:tr>
    </w:tbl>
    <w:p>
      <w:pPr>
        <w:spacing w:after="40"/>
      </w:pPr>
    </w:p>
    <w:p>
      <w:pPr>
        <w:pStyle w:val="Heading1"/>
        <w:keepNext/>
      </w:pPr>
      <w:r>
        <w:t>Zusammenfassung in einem Satz</w:t>
      </w:r>
    </w:p>
    <w:p>
      <w:pPr/>
      <w:r>
        <w:rPr>
          <w:rFonts w:ascii="Times New Roman" w:hAnsi="Times New Roman" w:eastAsia="Times New Roman"/>
          <w:i w:val="0"/>
          <w:color w:val="111111"/>
          <w:sz w:val="24"/>
        </w:rPr>
        <w:t>Das untersuchte Dokument zeichnet Nelson B. Bailey nicht nur als Musiklehrer und Autor, sondern als praxisorientierten Erfinder, dessen drei US-Patente zu Wirbel, Instrumententräger und Mundstück nach seiner Darstellung grundlegende und bis heute aktuelle Aufgaben der Instrumententechnik betreffen: zuverlässiges Stimmen, ergonomisches Halten und gezielte Steuerung von Kontakt und Schwingung.</w:t>
      </w:r>
    </w:p>
    <w:p>
      <w:pPr>
        <w:pStyle w:val="Heading1"/>
        <w:keepNext/>
      </w:pPr>
      <w:r>
        <w:t>1. Gegenstand, Perspektive und Leitfrage</w:t>
      </w:r>
    </w:p>
    <w:p>
      <w:pPr/>
      <w:r>
        <w:rPr>
          <w:rFonts w:ascii="Times New Roman" w:hAnsi="Times New Roman" w:eastAsia="Times New Roman"/>
          <w:i w:val="0"/>
          <w:color w:val="111111"/>
          <w:sz w:val="24"/>
        </w:rPr>
        <w:t>Ausgangspunkt der Untersuchung ist eine Verschiebung der Perspektive auf Nelson B. Bailey. In der bisherigen Wahrnehmung steht er offenbar vor allem als Lehrer, Musiker und Verfasser musikpädagogischer Literatur im Vordergrund. Das Dokument ergänzt dieses Bild um eine technische Dimension: Bailey wird als Inhaber beziehungsweise Miterfinder von mindestens drei US-Patenten vorgestellt, die dem praktischen Instrumentengebrauch und dem Instrumentenzubehör zuzuordnen sind.</w:t>
      </w:r>
    </w:p>
    <w:p>
      <w:pPr/>
      <w:r>
        <w:rPr>
          <w:rFonts w:ascii="Times New Roman" w:hAnsi="Times New Roman" w:eastAsia="Times New Roman"/>
          <w:i w:val="0"/>
          <w:color w:val="111111"/>
          <w:sz w:val="24"/>
        </w:rPr>
        <w:t>Im Zentrum stehen ein 1915 patentierter „Violin friction-peg“, ein 1928 patentierter „Hanger“ und ein 1929 patentiertes „Mouthpiece“. Diese drei Lösungen liegen an unterschiedlichen Schnittstellen zwischen Instrument und Spieler. Der Wirbel greift in den Stimmvorgang ein, der Hanger in die Haltung und Lastverteilung, das Mundstück in Ansprache, Kontakt und Schwingungsübertragung. Dadurch entsteht ein gemeinsamer funktionaler Rahmen, obwohl die einzelnen Konstruktionen verschiedene Instrumentengruppen betreffen.</w:t>
      </w:r>
    </w:p>
    <w:p>
      <w:pPr/>
      <w:r>
        <w:rPr>
          <w:rFonts w:ascii="Times New Roman" w:hAnsi="Times New Roman" w:eastAsia="Times New Roman"/>
          <w:i w:val="0"/>
          <w:color w:val="111111"/>
          <w:sz w:val="24"/>
        </w:rPr>
        <w:t>Die Leitfrage lautet nicht lediglich, ob die Patente erteilt wurden. Untersucht werden soll vielmehr, ob die von Bailey bearbeiteten Bauteiltypen und technischen Grundprobleme nach dem Ende des Patentschutzes weiterbestanden, in späteren Patenten erneut aufgegriffen wurden und in modernen Produkten noch erkennbar sind. Der zeitliche Bogen reicht deshalb von 1915 bis 2026.</w:t>
      </w:r>
    </w:p>
    <w:p>
      <w:pPr>
        <w:pStyle w:val="Heading1"/>
        <w:keepNext/>
      </w:pPr>
      <w:r>
        <w:t>2. Prüfmaßstab: Was bedeutet „Kontinuität“?</w:t>
      </w:r>
    </w:p>
    <w:p>
      <w:pPr/>
      <w:r>
        <w:rPr>
          <w:rFonts w:ascii="Times New Roman" w:hAnsi="Times New Roman" w:eastAsia="Times New Roman"/>
          <w:i w:val="0"/>
          <w:color w:val="111111"/>
          <w:sz w:val="24"/>
        </w:rPr>
        <w:t>Für die Bewertung ist eine begriffliche Trennung wichtig. Dass ein moderner Hersteller heute ebenfalls einen Stimmwirbel, ein Nackenband oder eine Ligatur anbietet, beweist für sich genommen noch keine unmittelbare Abstammung von einem Bailey-Patent. Das Dokument arbeitet mit mehreren Ebenen von Kontinuität, die unterschiedlich stark belegt werden können.</w:t>
      </w:r>
    </w:p>
    <w:p>
      <w:pPr>
        <w:numPr>
          <w:ilvl w:val="0"/>
          <w:numId w:val="1"/>
        </w:numPr>
        <w:spacing w:after="80" w:line="312" w:lineRule="auto"/>
      </w:pPr>
      <w:r>
        <w:rPr>
          <w:rFonts w:ascii="Times New Roman" w:hAnsi="Times New Roman" w:eastAsia="Times New Roman"/>
          <w:color w:val="111111"/>
          <w:sz w:val="24"/>
        </w:rPr>
        <w:t>Patentkontinuität: Ein späteres Patent nennt das frühere Schutzrecht ausdrücklich, übernimmt bestimmte Ansprüche oder entwickelt eine konkrete Konstruktion erkennbar fort.</w:t>
      </w:r>
    </w:p>
    <w:p>
      <w:pPr>
        <w:numPr>
          <w:ilvl w:val="0"/>
          <w:numId w:val="1"/>
        </w:numPr>
        <w:spacing w:after="80" w:line="312" w:lineRule="auto"/>
      </w:pPr>
      <w:r>
        <w:rPr>
          <w:rFonts w:ascii="Times New Roman" w:hAnsi="Times New Roman" w:eastAsia="Times New Roman"/>
          <w:color w:val="111111"/>
          <w:sz w:val="24"/>
        </w:rPr>
        <w:t>Technische Prinzipkontinuität: Spätere Lösungen verwenden dasselbe grundlegende Funktionsprinzip, auch wenn Form, Werkstoff und Detailmechanik verändert sind.</w:t>
      </w:r>
    </w:p>
    <w:p>
      <w:pPr>
        <w:numPr>
          <w:ilvl w:val="0"/>
          <w:numId w:val="1"/>
        </w:numPr>
        <w:spacing w:after="80" w:line="312" w:lineRule="auto"/>
      </w:pPr>
      <w:r>
        <w:rPr>
          <w:rFonts w:ascii="Times New Roman" w:hAnsi="Times New Roman" w:eastAsia="Times New Roman"/>
          <w:color w:val="111111"/>
          <w:sz w:val="24"/>
        </w:rPr>
        <w:t>Problemkontinuität: Über Jahrzehnte wird dieselbe praktische Schwierigkeit bearbeitet, etwa rutschende Wirbel, ungünstige Lastverteilung oder unkontrollierte Kontaktflächen am Mundstück.</w:t>
      </w:r>
    </w:p>
    <w:p>
      <w:pPr>
        <w:numPr>
          <w:ilvl w:val="0"/>
          <w:numId w:val="1"/>
        </w:numPr>
        <w:spacing w:after="80" w:line="312" w:lineRule="auto"/>
      </w:pPr>
      <w:r>
        <w:rPr>
          <w:rFonts w:ascii="Times New Roman" w:hAnsi="Times New Roman" w:eastAsia="Times New Roman"/>
          <w:color w:val="111111"/>
          <w:sz w:val="24"/>
        </w:rPr>
        <w:t>Marktkontinuität: Produkte derselben Bauteilklasse werden weiterhin hergestellt und verwendet. Das belegt die Dauerhaftigkeit des Bedarfs, nicht automatisch eine direkte Erfindungslinie.</w:t>
      </w:r>
    </w:p>
    <w:p>
      <w:pPr/>
      <w:r>
        <w:rPr>
          <w:rFonts w:ascii="Times New Roman" w:hAnsi="Times New Roman" w:eastAsia="Times New Roman"/>
          <w:i w:val="0"/>
          <w:color w:val="111111"/>
          <w:sz w:val="24"/>
        </w:rPr>
        <w:t>Der Ausgangstext verbindet diese Ebenen teilweise sehr eng. Für eine quellenkritische Zusammenfassung ist daher festzuhalten: Besonders belastbar ist zunächst der Befund, dass Bailey sich mit langlebigen technischen Aufgaben befasste. Ob heutige Produkte im patentrechtlichen oder konstruktionsgeschichtlichen Sinn unmittelbar auf seine Lösungen zurückgehen, müsste durch vollständige Patentfamilien, Zitationsketten, Anspruchsvergleiche sowie Hersteller- und Entwicklungsunterlagen gesondert belegt werden.</w:t>
      </w:r>
    </w:p>
    <w:p>
      <w:r>
        <w:br w:type="page"/>
      </w:r>
    </w:p>
    <w:p>
      <w:pPr>
        <w:pStyle w:val="Heading1"/>
        <w:keepNext/>
      </w:pPr>
      <w:r>
        <w:t>3. Die drei Patente im Überblick</w:t>
      </w:r>
    </w:p>
    <w:tbl>
      <w:tblPr>
        <w:tblW w:type="dxa" w:w="9072"/>
        <w:jc w:val="left"/>
        <w:tblLayout w:type="fixed"/>
        <w:tblLook w:firstColumn="1" w:firstRow="1" w:lastColumn="0" w:lastRow="0" w:noHBand="0" w:noVBand="1" w:val="04A0"/>
        <w:tblInd w:w="120" w:type="dxa"/>
        <w:tblBorders>
          <w:top w:val="single" w:sz="4" w:space="0" w:color="AEBBC4"/>
          <w:left w:val="single" w:sz="4" w:space="0" w:color="AEBBC4"/>
          <w:bottom w:val="single" w:sz="4" w:space="0" w:color="AEBBC4"/>
          <w:right w:val="single" w:sz="4" w:space="0" w:color="AEBBC4"/>
          <w:insideH w:val="single" w:sz="4" w:space="0" w:color="AEBBC4"/>
          <w:insideV w:val="single" w:sz="4" w:space="0" w:color="AEBBC4"/>
        </w:tblBorders>
      </w:tblPr>
      <w:tblGrid>
        <w:gridCol w:w="1700"/>
        <w:gridCol w:w="1900"/>
        <w:gridCol w:w="2350"/>
        <w:gridCol w:w="3122"/>
      </w:tblGrid>
      <w:tr>
        <w:trPr>
          <w:tblHeader w:val="true"/>
          <w:cantSplit w:val="true"/>
        </w:trPr>
        <w:tc>
          <w:tcPr>
            <w:tcW w:type="dxa" w:w="1700"/>
            <w:shd w:fill="E7EEF3"/>
            <w:tcMar>
              <w:top w:w="100" w:type="dxa"/>
              <w:start w:w="120" w:type="dxa"/>
              <w:bottom w:w="100" w:type="dxa"/>
              <w:end w:w="120" w:type="dxa"/>
            </w:tcMar>
            <w:vAlign w:val="center"/>
          </w:tcPr>
          <w:p>
            <w:pPr>
              <w:spacing w:after="0"/>
              <w:jc w:val="left"/>
            </w:pPr>
            <w:r>
              <w:rPr>
                <w:rFonts w:ascii="Calibri" w:hAnsi="Calibri" w:eastAsia="Calibri"/>
                <w:b/>
                <w:color w:val="203748"/>
                <w:sz w:val="19"/>
              </w:rPr>
              <w:t>Patent / Jahr</w:t>
            </w:r>
          </w:p>
        </w:tc>
        <w:tc>
          <w:tcPr>
            <w:tcW w:type="dxa" w:w="1900"/>
            <w:shd w:fill="E7EEF3"/>
            <w:tcMar>
              <w:top w:w="100" w:type="dxa"/>
              <w:start w:w="120" w:type="dxa"/>
              <w:bottom w:w="100" w:type="dxa"/>
              <w:end w:w="120" w:type="dxa"/>
            </w:tcMar>
            <w:vAlign w:val="center"/>
          </w:tcPr>
          <w:p>
            <w:pPr>
              <w:spacing w:after="0"/>
              <w:jc w:val="left"/>
            </w:pPr>
            <w:r>
              <w:rPr>
                <w:rFonts w:ascii="Calibri" w:hAnsi="Calibri" w:eastAsia="Calibri"/>
                <w:b/>
                <w:color w:val="203748"/>
                <w:sz w:val="19"/>
              </w:rPr>
              <w:t>Bauteil</w:t>
            </w:r>
          </w:p>
        </w:tc>
        <w:tc>
          <w:tcPr>
            <w:tcW w:type="dxa" w:w="2350"/>
            <w:shd w:fill="E7EEF3"/>
            <w:tcMar>
              <w:top w:w="100" w:type="dxa"/>
              <w:start w:w="120" w:type="dxa"/>
              <w:bottom w:w="100" w:type="dxa"/>
              <w:end w:w="120" w:type="dxa"/>
            </w:tcMar>
            <w:vAlign w:val="center"/>
          </w:tcPr>
          <w:p>
            <w:pPr>
              <w:spacing w:after="0"/>
              <w:jc w:val="left"/>
            </w:pPr>
            <w:r>
              <w:rPr>
                <w:rFonts w:ascii="Calibri" w:hAnsi="Calibri" w:eastAsia="Calibri"/>
                <w:b/>
                <w:color w:val="203748"/>
                <w:sz w:val="19"/>
              </w:rPr>
              <w:t>Kernproblem</w:t>
            </w:r>
          </w:p>
        </w:tc>
        <w:tc>
          <w:tcPr>
            <w:tcW w:type="dxa" w:w="3122"/>
            <w:shd w:fill="E7EEF3"/>
            <w:tcMar>
              <w:top w:w="100" w:type="dxa"/>
              <w:start w:w="120" w:type="dxa"/>
              <w:bottom w:w="100" w:type="dxa"/>
              <w:end w:w="120" w:type="dxa"/>
            </w:tcMar>
            <w:vAlign w:val="center"/>
          </w:tcPr>
          <w:p>
            <w:pPr>
              <w:spacing w:after="0"/>
              <w:jc w:val="left"/>
            </w:pPr>
            <w:r>
              <w:rPr>
                <w:rFonts w:ascii="Calibri" w:hAnsi="Calibri" w:eastAsia="Calibri"/>
                <w:b/>
                <w:color w:val="203748"/>
                <w:sz w:val="19"/>
              </w:rPr>
              <w:t>Im Dokument behauptete Kontinuität</w:t>
            </w:r>
          </w:p>
        </w:tc>
      </w:tr>
      <w:tr>
        <w:trPr>
          <w:cantSplit w:val="true"/>
        </w:trPr>
        <w:tc>
          <w:tcPr>
            <w:tcW w:type="dxa" w:w="1700"/>
            <w:tcMar>
              <w:top w:w="100" w:type="dxa"/>
              <w:start w:w="120" w:type="dxa"/>
              <w:bottom w:w="100" w:type="dxa"/>
              <w:end w:w="120" w:type="dxa"/>
            </w:tcMar>
            <w:vAlign w:val="center"/>
          </w:tcPr>
          <w:p>
            <w:pPr>
              <w:spacing w:before="0" w:after="0" w:line="276" w:lineRule="auto"/>
            </w:pPr>
            <w:r>
              <w:rPr>
                <w:rFonts w:ascii="Calibri" w:hAnsi="Calibri" w:eastAsia="Calibri"/>
                <w:b/>
                <w:color w:val="111111"/>
                <w:sz w:val="18"/>
              </w:rPr>
              <w:t>Violin friction-peg</w:t>
              <w:br/>
              <w:t>1915</w:t>
            </w:r>
          </w:p>
        </w:tc>
        <w:tc>
          <w:tcPr>
            <w:tcW w:type="dxa" w:w="1900"/>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Reibungswirbel im Wirbelkasten</w:t>
            </w:r>
          </w:p>
        </w:tc>
        <w:tc>
          <w:tcPr>
            <w:tcW w:type="dxa" w:w="2350"/>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Sichere, fein kontrollierbare Drehung und stabile Stimmung</w:t>
            </w:r>
          </w:p>
        </w:tc>
        <w:tc>
          <w:tcPr>
            <w:tcW w:type="dxa" w:w="3122"/>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Spätere Präzisions- und Getriebewirbel; moderne Produkte von Knilling und Wittner werden als Fortführung des Prinzips eingeordnet.</w:t>
            </w:r>
          </w:p>
        </w:tc>
      </w:tr>
      <w:tr>
        <w:trPr>
          <w:cantSplit w:val="true"/>
        </w:trPr>
        <w:tc>
          <w:tcPr>
            <w:tcW w:type="dxa" w:w="1700"/>
            <w:tcMar>
              <w:top w:w="100" w:type="dxa"/>
              <w:start w:w="120" w:type="dxa"/>
              <w:bottom w:w="100" w:type="dxa"/>
              <w:end w:w="120" w:type="dxa"/>
            </w:tcMar>
            <w:vAlign w:val="center"/>
          </w:tcPr>
          <w:p>
            <w:pPr>
              <w:spacing w:before="0" w:after="0" w:line="276" w:lineRule="auto"/>
            </w:pPr>
            <w:r>
              <w:rPr>
                <w:rFonts w:ascii="Calibri" w:hAnsi="Calibri" w:eastAsia="Calibri"/>
                <w:b/>
                <w:color w:val="111111"/>
                <w:sz w:val="18"/>
              </w:rPr>
              <w:t>Hanger</w:t>
              <w:br/>
              <w:t>1928</w:t>
            </w:r>
          </w:p>
        </w:tc>
        <w:tc>
          <w:tcPr>
            <w:tcW w:type="dxa" w:w="1900"/>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Träger, Nackenband oder Hakenverbindung</w:t>
            </w:r>
          </w:p>
        </w:tc>
        <w:tc>
          <w:tcPr>
            <w:tcW w:type="dxa" w:w="2350"/>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Ergonomisches Tragen, Halten und Anpassen eines Instruments</w:t>
            </w:r>
          </w:p>
        </w:tc>
        <w:tc>
          <w:tcPr>
            <w:tcW w:type="dxa" w:w="3122"/>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Verstellbare Nackenbänder und weiterentwickelte Haken- beziehungsweise Verbindungslösungen; Bezug auf spätere Patente von 1982 und 2001.</w:t>
            </w:r>
          </w:p>
        </w:tc>
      </w:tr>
      <w:tr>
        <w:trPr>
          <w:cantSplit w:val="true"/>
        </w:trPr>
        <w:tc>
          <w:tcPr>
            <w:tcW w:type="dxa" w:w="1700"/>
            <w:tcMar>
              <w:top w:w="100" w:type="dxa"/>
              <w:start w:w="120" w:type="dxa"/>
              <w:bottom w:w="100" w:type="dxa"/>
              <w:end w:w="120" w:type="dxa"/>
            </w:tcMar>
            <w:vAlign w:val="center"/>
          </w:tcPr>
          <w:p>
            <w:pPr>
              <w:spacing w:before="0" w:after="0" w:line="276" w:lineRule="auto"/>
            </w:pPr>
            <w:r>
              <w:rPr>
                <w:rFonts w:ascii="Calibri" w:hAnsi="Calibri" w:eastAsia="Calibri"/>
                <w:b/>
                <w:color w:val="111111"/>
                <w:sz w:val="18"/>
              </w:rPr>
              <w:t>Mouthpiece</w:t>
              <w:br/>
              <w:t>1929</w:t>
            </w:r>
          </w:p>
        </w:tc>
        <w:tc>
          <w:tcPr>
            <w:tcW w:type="dxa" w:w="1900"/>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Mundstück mit elastischer Zwischen- oder Kontaktkomponente</w:t>
            </w:r>
          </w:p>
        </w:tc>
        <w:tc>
          <w:tcPr>
            <w:tcW w:type="dxa" w:w="2350"/>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Ansprache, Kontakt, Dämpfung und Schwingungssteuerung</w:t>
            </w:r>
          </w:p>
        </w:tc>
        <w:tc>
          <w:tcPr>
            <w:tcW w:type="dxa" w:w="3122"/>
            <w:tcMar>
              <w:top w:w="100" w:type="dxa"/>
              <w:start w:w="120" w:type="dxa"/>
              <w:bottom w:w="100" w:type="dxa"/>
              <w:end w:w="120" w:type="dxa"/>
            </w:tcMar>
            <w:vAlign w:val="center"/>
          </w:tcPr>
          <w:p>
            <w:pPr>
              <w:spacing w:before="0" w:after="0" w:line="276" w:lineRule="auto"/>
            </w:pPr>
            <w:r>
              <w:rPr>
                <w:rFonts w:ascii="Calibri" w:hAnsi="Calibri" w:eastAsia="Calibri"/>
                <w:b w:val="0"/>
                <w:color w:val="111111"/>
                <w:sz w:val="18"/>
              </w:rPr>
              <w:t>Spätere Lösungen von 1950, 1984 und 1998; heutige Ligaturen und Kontaktsteuerungen von Vandoren und Rovner werden als Weiterentwicklung gedeutet.</w:t>
            </w:r>
          </w:p>
        </w:tc>
      </w:tr>
    </w:tbl>
    <w:p>
      <w:pPr>
        <w:spacing w:before="80" w:after="80"/>
      </w:pPr>
      <w:r>
        <w:rPr>
          <w:rFonts w:ascii="Times New Roman" w:hAnsi="Times New Roman" w:eastAsia="Times New Roman"/>
          <w:i/>
          <w:color w:val="666666"/>
          <w:sz w:val="19"/>
        </w:rPr>
        <w:t>Tabelle 1: Verdichtete Übersicht nach dem bereitgestellten Ausgangstext.</w:t>
      </w:r>
    </w:p>
    <w:p>
      <w:pPr>
        <w:pStyle w:val="Heading1"/>
        <w:keepNext/>
      </w:pPr>
      <w:r>
        <w:t>4. Der „Violin friction-peg“ von 1915</w:t>
      </w:r>
    </w:p>
    <w:p>
      <w:pPr>
        <w:pStyle w:val="Heading2"/>
        <w:keepNext/>
      </w:pPr>
      <w:r>
        <w:t>4.1 Technische Aufgabe</w:t>
      </w:r>
    </w:p>
    <w:p>
      <w:pPr/>
      <w:r>
        <w:rPr>
          <w:rFonts w:ascii="Times New Roman" w:hAnsi="Times New Roman" w:eastAsia="Times New Roman"/>
          <w:i w:val="0"/>
          <w:color w:val="111111"/>
          <w:sz w:val="24"/>
        </w:rPr>
        <w:t>Der Reibungswirbel gehört zu den unscheinbaren, aber für die Spielpraxis entscheidenden Bauteilen eines Saiteninstruments. Er muss zwei scheinbar gegensätzliche Anforderungen erfüllen: Einerseits soll er sich beim Stimmen kontrolliert bewegen lassen, andererseits muss er nach der Einstellung zuverlässig in seiner Position bleiben. Zu geringe Reibung führt zum Zurückrutschen und damit zu instabiler Stimmung; zu hohe oder ungleichmäßige Reibung erschwert eine feine Tonhöhenkorrektur.</w:t>
      </w:r>
    </w:p>
    <w:p>
      <w:pPr/>
      <w:r>
        <w:rPr>
          <w:rFonts w:ascii="Times New Roman" w:hAnsi="Times New Roman" w:eastAsia="Times New Roman"/>
          <w:i w:val="0"/>
          <w:color w:val="111111"/>
          <w:sz w:val="24"/>
        </w:rPr>
        <w:t>Das Bailey zugeschriebene Patent von 1915 wird im Ausgangstext als Lösung für eine sicherere und besser kontrollierbare Drehbarkeit im Wirbelkasten beschrieben. Der Erfindungskern liegt damit nicht in einer bloßen dekorativen Veränderung, sondern in der mechanischen Beherrschung von Reibung, Haltekraft und Bewegungspräzision.</w:t>
      </w:r>
    </w:p>
    <w:p>
      <w:pPr>
        <w:pStyle w:val="Heading2"/>
        <w:keepNext/>
      </w:pPr>
      <w:r>
        <w:t>4.2 Spätere Entwicklungslinie</w:t>
      </w:r>
    </w:p>
    <w:p>
      <w:pPr/>
      <w:r>
        <w:rPr>
          <w:rFonts w:ascii="Times New Roman" w:hAnsi="Times New Roman" w:eastAsia="Times New Roman"/>
          <w:i w:val="0"/>
          <w:color w:val="111111"/>
          <w:sz w:val="24"/>
        </w:rPr>
        <w:t>Das Dokument nennt nachfolgende Patente aus den Jahren 1923, 1929, 1999 und 2010. Diese zeitlich weit auseinanderliegenden Schutzrechte werden als Stationen einer fortschreitenden Präzisierung desselben Grundproblems gelesen. Während frühe Lösungen vor allem die zuverlässige Klemm- und Drehfunktion sichern sollen, treten bei modernen Konstruktionen feinere Übersetzungen, leichter reproduzierbare Einstellungen, wartungsarme Materialien und eine unauffällige Integration in die traditionelle Instrumentenform hinzu.</w:t>
      </w:r>
    </w:p>
    <w:p>
      <w:pPr/>
      <w:r>
        <w:rPr>
          <w:rFonts w:ascii="Times New Roman" w:hAnsi="Times New Roman" w:eastAsia="Times New Roman"/>
          <w:i w:val="0"/>
          <w:color w:val="111111"/>
          <w:sz w:val="24"/>
        </w:rPr>
        <w:t>Diese Linie ist technisch plausibel, weil die Grundanforderung über mehr als ein Jahrhundert unverändert geblieben ist. Ein Streichinstrument muss schnell und präzise gestimmt werden können, ohne dass der Wirbel unter Saitenzug nachgibt. Neue Materialien und Fertigungsmöglichkeiten verändern die konkrete Mechanik, beseitigen aber nicht die ursprüngliche Aufgabe.</w:t>
      </w:r>
    </w:p>
    <w:p>
      <w:pPr>
        <w:pStyle w:val="Heading2"/>
        <w:keepNext/>
      </w:pPr>
      <w:r>
        <w:t>4.3 Moderne Marktpräsenz</w:t>
      </w:r>
    </w:p>
    <w:p>
      <w:pPr/>
      <w:r>
        <w:rPr>
          <w:rFonts w:ascii="Times New Roman" w:hAnsi="Times New Roman" w:eastAsia="Times New Roman"/>
          <w:i w:val="0"/>
          <w:color w:val="111111"/>
          <w:sz w:val="24"/>
        </w:rPr>
        <w:t>Als heutige Beispiele nennt der Ausgangstext die Hersteller Knilling und Wittner. Deren moderne Wirbelsysteme stehen demnach für die Marktgängigkeit präziser, funktionssicherer Stimmmechaniken. Der Bezug zu Bailey wird dabei als Prinzipkontinuität verstanden: kontrollierte Drehbarkeit bei gleichzeitig sicherem Halt.</w:t>
      </w:r>
    </w:p>
    <w:tbl>
      <w:tblPr>
        <w:tblW w:type="dxa" w:w="9072"/>
        <w:jc w:val="left"/>
        <w:tblLayout w:type="fixed"/>
        <w:tblLook w:firstColumn="1" w:firstRow="1" w:lastColumn="0" w:lastRow="0" w:noHBand="0" w:noVBand="1" w:val="04A0"/>
        <w:tblInd w:w="120" w:type="dxa"/>
        <w:tblBorders>
          <w:top w:val="single" w:sz="4" w:space="0" w:color="AEBBC4"/>
          <w:left w:val="single" w:sz="4" w:space="0" w:color="AEBBC4"/>
          <w:bottom w:val="single" w:sz="4" w:space="0" w:color="AEBBC4"/>
          <w:right w:val="single" w:sz="4" w:space="0" w:color="AEBBC4"/>
          <w:insideH w:val="single" w:sz="4" w:space="0" w:color="AEBBC4"/>
          <w:insideV w:val="single" w:sz="4" w:space="0" w:color="AEBBC4"/>
        </w:tblBorders>
      </w:tblPr>
      <w:tblGrid>
        <w:gridCol w:w="9072"/>
      </w:tblGrid>
      <w:tr>
        <w:tc>
          <w:tcPr>
            <w:tcW w:type="dxa" w:w="9072"/>
            <w:tcMar>
              <w:top w:w="100" w:type="dxa"/>
              <w:start w:w="120" w:type="dxa"/>
              <w:bottom w:w="100" w:type="dxa"/>
              <w:end w:w="120" w:type="dxa"/>
            </w:tcMar>
            <w:vAlign w:val="center"/>
            <w:shd w:fill="F4F6F9"/>
          </w:tcPr>
          <w:p>
            <w:pPr>
              <w:spacing w:before="40" w:after="40" w:line="300" w:lineRule="auto"/>
            </w:pPr>
            <w:r>
              <w:rPr>
                <w:rFonts w:ascii="Times New Roman" w:hAnsi="Times New Roman" w:eastAsia="Times New Roman"/>
                <w:b/>
                <w:color w:val="1F4D78"/>
                <w:sz w:val="22"/>
              </w:rPr>
              <w:t xml:space="preserve">Quellenkritische Einordnung: </w:t>
            </w:r>
            <w:r>
              <w:rPr>
                <w:rFonts w:ascii="Times New Roman" w:hAnsi="Times New Roman" w:eastAsia="Times New Roman"/>
                <w:color w:val="111111"/>
                <w:sz w:val="22"/>
              </w:rPr>
              <w:t>Die heutige Existenz moderner Präzisionswirbel belegt überzeugend die Dauer des technischen Problems. Die stärkere Aussage, diese Produkte „basierten auf Baileys Prinzip“, verlangt darüber hinaus einen konstruktiven Vergleich der Patentzeichnungen und Ansprüche sowie möglichst eine dokumentierte Zitations- oder Entwicklungskette.</w:t>
            </w:r>
          </w:p>
        </w:tc>
      </w:tr>
    </w:tbl>
    <w:p>
      <w:pPr>
        <w:spacing w:after="40"/>
      </w:pPr>
    </w:p>
    <w:p>
      <w:pPr>
        <w:pStyle w:val="Heading1"/>
        <w:keepNext/>
      </w:pPr>
      <w:r>
        <w:t>5. Der „Hanger“ von 1928</w:t>
      </w:r>
    </w:p>
    <w:p>
      <w:pPr>
        <w:pStyle w:val="Heading2"/>
        <w:keepNext/>
      </w:pPr>
      <w:r>
        <w:t>5.1 Ergonomie als technisches Problem</w:t>
      </w:r>
    </w:p>
    <w:p>
      <w:pPr/>
      <w:r>
        <w:rPr>
          <w:rFonts w:ascii="Times New Roman" w:hAnsi="Times New Roman" w:eastAsia="Times New Roman"/>
          <w:i w:val="0"/>
          <w:color w:val="111111"/>
          <w:sz w:val="24"/>
        </w:rPr>
        <w:t>Das zweite Patent verlagert den Schwerpunkt von der Mechanik des Instruments auf die Verbindung zwischen Instrument und Körper. Ein Hanger, Träger oder Nackenband übernimmt Gewicht, stabilisiert die Spielposition und muss sich an unterschiedliche Körpergrößen, Instrumentformen und Spielsituationen anpassen lassen. Zugleich darf die Verbindung das Instrument nicht beschädigen oder die Bewegungsfreiheit unnötig einschränken.</w:t>
      </w:r>
    </w:p>
    <w:p>
      <w:pPr/>
      <w:r>
        <w:rPr>
          <w:rFonts w:ascii="Times New Roman" w:hAnsi="Times New Roman" w:eastAsia="Times New Roman"/>
          <w:i w:val="0"/>
          <w:color w:val="111111"/>
          <w:sz w:val="24"/>
        </w:rPr>
        <w:t>Der Ausgangstext betrachtet den 1928 patentierten Hanger als frühe Grundlage für verstellbare Nackenbänder und Hakenverbindungen. Entscheidend ist dabei weniger eine einzelne äußere Form als die funktionale Kombination von Tragen, Sichern und Anpassen. Genau diese Kombination ist für zahlreiche tragbare Instrumente bis heute relevant.</w:t>
      </w:r>
    </w:p>
    <w:p>
      <w:pPr>
        <w:pStyle w:val="Heading2"/>
        <w:keepNext/>
      </w:pPr>
      <w:r>
        <w:t>5.2 Fortentwicklung in späteren Patenten</w:t>
      </w:r>
    </w:p>
    <w:p>
      <w:pPr/>
      <w:r>
        <w:rPr>
          <w:rFonts w:ascii="Times New Roman" w:hAnsi="Times New Roman" w:eastAsia="Times New Roman"/>
          <w:i w:val="0"/>
          <w:color w:val="111111"/>
          <w:sz w:val="24"/>
        </w:rPr>
        <w:t>Patente aus den Jahren 1982 und 2001 werden als spätere Entwicklungsschritte genannt. Sie sollen zeigen, dass die ergonomische Verbindung zwischen Spieler und Instrument weiter optimiert wurde. Denkbare Verbesserungsrichtungen sind eine feinere Längenverstellung, belastbarere Haken, schneller lösbare Verbindungen, eine bessere Verteilung des Gewichts und ein höherer Schutz gegen unbeabsichtigtes Aushängen.</w:t>
      </w:r>
    </w:p>
    <w:p>
      <w:pPr/>
      <w:r>
        <w:rPr>
          <w:rFonts w:ascii="Times New Roman" w:hAnsi="Times New Roman" w:eastAsia="Times New Roman"/>
          <w:i w:val="0"/>
          <w:color w:val="111111"/>
          <w:sz w:val="24"/>
        </w:rPr>
        <w:t>Der zeitliche Abstand von mehreren Jahrzehnten unterstützt die Grundthese des Dokuments: Es handelt sich nicht um ein kurzfristiges Modeproblem, sondern um eine dauerhaft wiederkehrende Konstruktionsaufgabe. Veränderungen von Instrumenten, Spielweisen und Materialien verschieben die Anforderungen, lassen den Kernbedarf jedoch bestehen.</w:t>
      </w:r>
    </w:p>
    <w:p>
      <w:pPr>
        <w:pStyle w:val="Heading2"/>
        <w:keepNext/>
      </w:pPr>
      <w:r>
        <w:t>5.3 Heutige Verwendung</w:t>
      </w:r>
    </w:p>
    <w:p>
      <w:pPr/>
      <w:r>
        <w:rPr>
          <w:rFonts w:ascii="Times New Roman" w:hAnsi="Times New Roman" w:eastAsia="Times New Roman"/>
          <w:i w:val="0"/>
          <w:color w:val="111111"/>
          <w:sz w:val="24"/>
        </w:rPr>
        <w:t>Verstellbare Nackenbänder, Tragegurte und Hakenverbindungen gehören heute zur Standardausstattung vieler tragbarer Instrumente. Darin sieht das Dokument eine fortdauernde praktische Wirksamkeit des von Bailey bearbeiteten Lösungsfeldes. Seine Bedeutung läge dann weniger in der unveränderten Weiterproduktion eines historischen Einzelprodukts als in der frühen technischen Formulierung einer bis heute marktaktiven Bauteilklasse.</w:t>
      </w:r>
    </w:p>
    <w:tbl>
      <w:tblPr>
        <w:tblW w:type="dxa" w:w="9072"/>
        <w:jc w:val="left"/>
        <w:tblLayout w:type="fixed"/>
        <w:tblLook w:firstColumn="1" w:firstRow="1" w:lastColumn="0" w:lastRow="0" w:noHBand="0" w:noVBand="1" w:val="04A0"/>
        <w:tblInd w:w="120" w:type="dxa"/>
        <w:tblBorders>
          <w:top w:val="single" w:sz="4" w:space="0" w:color="AEBBC4"/>
          <w:left w:val="single" w:sz="4" w:space="0" w:color="AEBBC4"/>
          <w:bottom w:val="single" w:sz="4" w:space="0" w:color="AEBBC4"/>
          <w:right w:val="single" w:sz="4" w:space="0" w:color="AEBBC4"/>
          <w:insideH w:val="single" w:sz="4" w:space="0" w:color="AEBBC4"/>
          <w:insideV w:val="single" w:sz="4" w:space="0" w:color="AEBBC4"/>
        </w:tblBorders>
      </w:tblPr>
      <w:tblGrid>
        <w:gridCol w:w="9072"/>
      </w:tblGrid>
      <w:tr>
        <w:tc>
          <w:tcPr>
            <w:tcW w:type="dxa" w:w="9072"/>
            <w:tcMar>
              <w:top w:w="100" w:type="dxa"/>
              <w:start w:w="120" w:type="dxa"/>
              <w:bottom w:w="100" w:type="dxa"/>
              <w:end w:w="120" w:type="dxa"/>
            </w:tcMar>
            <w:vAlign w:val="center"/>
            <w:shd w:fill="F4F6F9"/>
          </w:tcPr>
          <w:p>
            <w:pPr>
              <w:spacing w:before="40" w:after="40" w:line="300" w:lineRule="auto"/>
            </w:pPr>
            <w:r>
              <w:rPr>
                <w:rFonts w:ascii="Times New Roman" w:hAnsi="Times New Roman" w:eastAsia="Times New Roman"/>
                <w:b/>
                <w:color w:val="1F4D78"/>
                <w:sz w:val="22"/>
              </w:rPr>
              <w:t xml:space="preserve">Quellenkritische Einordnung: </w:t>
            </w:r>
            <w:r>
              <w:rPr>
                <w:rFonts w:ascii="Times New Roman" w:hAnsi="Times New Roman" w:eastAsia="Times New Roman"/>
                <w:color w:val="111111"/>
                <w:sz w:val="22"/>
              </w:rPr>
              <w:t>Bei Trage- und Haltesystemen kann eine ähnliche Funktion unabhängig mehrfach erfunden werden. Eine belastbare Bailey-Linie müsste deshalb zeigen, welche besonderen konstruktiven Merkmale des Patents von 1928 in den späteren Patenten oder Produkten wiederkehren und ob diese Übernahme dokumentiert ist.</w:t>
            </w:r>
          </w:p>
        </w:tc>
      </w:tr>
    </w:tbl>
    <w:p>
      <w:pPr>
        <w:spacing w:after="40"/>
      </w:pPr>
    </w:p>
    <w:p>
      <w:pPr>
        <w:pStyle w:val="Heading1"/>
        <w:keepNext/>
      </w:pPr>
      <w:r>
        <w:t>6. Das „Mouthpiece“ von 1929</w:t>
      </w:r>
    </w:p>
    <w:p>
      <w:pPr>
        <w:pStyle w:val="Heading2"/>
        <w:keepNext/>
      </w:pPr>
      <w:r>
        <w:t>6.1 Kontakt und Schwingung</w:t>
      </w:r>
    </w:p>
    <w:p>
      <w:pPr/>
      <w:r>
        <w:rPr>
          <w:rFonts w:ascii="Times New Roman" w:hAnsi="Times New Roman" w:eastAsia="Times New Roman"/>
          <w:i w:val="0"/>
          <w:color w:val="111111"/>
          <w:sz w:val="24"/>
        </w:rPr>
        <w:t>Das dritte Patent betrifft nach dem Ausgangstext ein Mundstück und insbesondere elastische Zwischenkomponenten. Solche Komponenten befinden sich an einer akustisch sensiblen Grenze: Sie beeinflussen, wie Teile miteinander in Kontakt stehen, wie fest sie gekoppelt sind und wie Schwingungen übertragen, gedämpft oder verteilt werden. Bereits kleine Änderungen von Material, Druck oder Kontaktfläche können sich auf Ansprache, Spielgefühl und Klangwahrnehmung auswirken.</w:t>
      </w:r>
    </w:p>
    <w:p>
      <w:pPr/>
      <w:r>
        <w:rPr>
          <w:rFonts w:ascii="Times New Roman" w:hAnsi="Times New Roman" w:eastAsia="Times New Roman"/>
          <w:i w:val="0"/>
          <w:color w:val="111111"/>
          <w:sz w:val="24"/>
        </w:rPr>
        <w:t>Baileys Ansatz wird deshalb als Versuch beschrieben, nicht nur die äußere Gestalt eines Mundstücks, sondern die Kontaktzone selbst technisch zu steuern. In dieser Perspektive ist Elastizität kein Nebeneffekt, sondern ein bewusst eingesetztes Funktionselement.</w:t>
      </w:r>
    </w:p>
    <w:p>
      <w:pPr>
        <w:pStyle w:val="Heading2"/>
        <w:keepNext/>
      </w:pPr>
      <w:r>
        <w:t>6.2 Genannte Folgeentwicklungen</w:t>
      </w:r>
    </w:p>
    <w:p>
      <w:pPr/>
      <w:r>
        <w:rPr>
          <w:rFonts w:ascii="Times New Roman" w:hAnsi="Times New Roman" w:eastAsia="Times New Roman"/>
          <w:i w:val="0"/>
          <w:color w:val="111111"/>
          <w:sz w:val="24"/>
        </w:rPr>
        <w:t>Die Untersuchung verweist auf spätere Lösungen aus den Jahren 1950, 1984 und 1998. Diese sollen die Kontaktzone jeweils verändern oder präzisieren, ohne das grundlegende Ziel aufzugeben: eine kontrollierte Verbindung, die Ansprache und Schwingungsverhalten günstig beeinflusst. Der Entwicklungspfad führt damit von einer frühen elastischen Zwischenkomponente zu differenzierten Systemen der Druck- und Kontaktsteuerung.</w:t>
      </w:r>
    </w:p>
    <w:p>
      <w:pPr/>
      <w:r>
        <w:rPr>
          <w:rFonts w:ascii="Times New Roman" w:hAnsi="Times New Roman" w:eastAsia="Times New Roman"/>
          <w:i w:val="0"/>
          <w:color w:val="111111"/>
          <w:sz w:val="24"/>
        </w:rPr>
        <w:t>Als gegenwärtige Marktbeispiele werden Ligaturen und Kontaktsteuerungen von Vandoren und Rovner genannt. Das Dokument interpretiert sie als direkte Weiterentwicklungen von Baileys Ansatz. Gemeint ist offenbar, dass moderne Ligaturen die Befestigung nicht nur als starre Klammer behandeln, sondern Material, Auflageflächen und Druckverteilung gezielt zur Beeinflussung von Ansprache und Klang einsetzen.</w:t>
      </w:r>
    </w:p>
    <w:p>
      <w:pPr>
        <w:pStyle w:val="Heading2"/>
        <w:keepNext/>
      </w:pPr>
      <w:r>
        <w:t>6.3 Reichweite der These</w:t>
      </w:r>
    </w:p>
    <w:p>
      <w:pPr/>
      <w:r>
        <w:rPr>
          <w:rFonts w:ascii="Times New Roman" w:hAnsi="Times New Roman" w:eastAsia="Times New Roman"/>
          <w:i w:val="0"/>
          <w:color w:val="111111"/>
          <w:sz w:val="24"/>
        </w:rPr>
        <w:t>Die funktionale Verwandtschaft ist auf der Ebene des Problems gut nachvollziehbar: Auch heutige Produkte gestalten die Kontakt- und Schwingungsbedingungen zwischen Mundstück, Blatt und Befestigung. Ob daraus eine direkte genealogische Linie folgt, ist jedoch eine stärkere Behauptung. Sie setzt voraus, dass Baileys konkrete Patentmerkmale in späteren Schutzrechten zitiert oder konstruktiv übernommen wurden.</w:t>
      </w:r>
    </w:p>
    <w:tbl>
      <w:tblPr>
        <w:tblW w:type="dxa" w:w="9072"/>
        <w:jc w:val="left"/>
        <w:tblLayout w:type="fixed"/>
        <w:tblLook w:firstColumn="1" w:firstRow="1" w:lastColumn="0" w:lastRow="0" w:noHBand="0" w:noVBand="1" w:val="04A0"/>
        <w:tblInd w:w="120" w:type="dxa"/>
        <w:tblBorders>
          <w:top w:val="single" w:sz="4" w:space="0" w:color="AEBBC4"/>
          <w:left w:val="single" w:sz="4" w:space="0" w:color="AEBBC4"/>
          <w:bottom w:val="single" w:sz="4" w:space="0" w:color="AEBBC4"/>
          <w:right w:val="single" w:sz="4" w:space="0" w:color="AEBBC4"/>
          <w:insideH w:val="single" w:sz="4" w:space="0" w:color="AEBBC4"/>
          <w:insideV w:val="single" w:sz="4" w:space="0" w:color="AEBBC4"/>
        </w:tblBorders>
      </w:tblPr>
      <w:tblGrid>
        <w:gridCol w:w="9072"/>
      </w:tblGrid>
      <w:tr>
        <w:tc>
          <w:tcPr>
            <w:tcW w:type="dxa" w:w="9072"/>
            <w:tcMar>
              <w:top w:w="100" w:type="dxa"/>
              <w:start w:w="120" w:type="dxa"/>
              <w:bottom w:w="100" w:type="dxa"/>
              <w:end w:w="120" w:type="dxa"/>
            </w:tcMar>
            <w:vAlign w:val="center"/>
            <w:shd w:fill="F4F6F9"/>
          </w:tcPr>
          <w:p>
            <w:pPr>
              <w:spacing w:before="40" w:after="40" w:line="300" w:lineRule="auto"/>
            </w:pPr>
            <w:r>
              <w:rPr>
                <w:rFonts w:ascii="Times New Roman" w:hAnsi="Times New Roman" w:eastAsia="Times New Roman"/>
                <w:b/>
                <w:color w:val="1F4D78"/>
                <w:sz w:val="22"/>
              </w:rPr>
              <w:t xml:space="preserve">Quellenkritische Einordnung: </w:t>
            </w:r>
            <w:r>
              <w:rPr>
                <w:rFonts w:ascii="Times New Roman" w:hAnsi="Times New Roman" w:eastAsia="Times New Roman"/>
                <w:color w:val="111111"/>
                <w:sz w:val="22"/>
              </w:rPr>
              <w:t>Die Formulierung „direkte Weiterentwicklung“ sollte in einer wissenschaftlichen Endfassung nur verwendet werden, wenn Patentansprüche, Zeichnungen oder Herstellerunterlagen die Verbindung tragen. Andernfalls ist „funktionale oder problemgeschichtliche Kontinuität“ die präzisere Aussage.</w:t>
            </w:r>
          </w:p>
        </w:tc>
      </w:tr>
    </w:tbl>
    <w:p>
      <w:pPr>
        <w:spacing w:after="40"/>
      </w:pPr>
    </w:p>
    <w:p>
      <w:pPr>
        <w:pStyle w:val="Heading1"/>
        <w:keepNext/>
      </w:pPr>
      <w:r>
        <w:t>7. Gemeinsame Struktur der drei Erfindungen</w:t>
      </w:r>
    </w:p>
    <w:p>
      <w:pPr/>
      <w:r>
        <w:rPr>
          <w:rFonts w:ascii="Times New Roman" w:hAnsi="Times New Roman" w:eastAsia="Times New Roman"/>
          <w:i w:val="0"/>
          <w:color w:val="111111"/>
          <w:sz w:val="24"/>
        </w:rPr>
        <w:t>Trotz ihrer Unterschiede verbindet die drei Patente eine auffällige Grundstruktur. Bailey richtet den Blick nicht auf das Instrument als Ganzes, sondern auf kleine Bauteile an entscheidenden Übergängen. Der Wirbel vermittelt zwischen Handbewegung, Saitenzug und Wirbelkasten. Der Hanger vermittelt zwischen Instrumentgewicht und Körperhaltung. Die elastische Komponente des Mundstücks vermittelt zwischen Materialkontakt, Befestigung und Schwingung.</w:t>
      </w:r>
    </w:p>
    <w:p>
      <w:pPr/>
      <w:r>
        <w:rPr>
          <w:rFonts w:ascii="Times New Roman" w:hAnsi="Times New Roman" w:eastAsia="Times New Roman"/>
          <w:i w:val="0"/>
          <w:color w:val="111111"/>
          <w:sz w:val="24"/>
        </w:rPr>
        <w:t>Gerade solche Grenzbauteile sind häufig besonders langlebige Innovationsfelder. Sie müssen widersprüchliche Anforderungen ausgleichen: beweglich und zugleich fest, tragfähig und zugleich komfortabel, sicher gekoppelt und zugleich schwingungsgünstig. Eine Lösung kann deshalb über Jahrzehnte modifiziert werden, ohne dass die zugrunde liegende Aufgabe verschwindet.</w:t>
      </w:r>
    </w:p>
    <w:p>
      <w:pPr/>
      <w:r>
        <w:rPr>
          <w:rFonts w:ascii="Times New Roman" w:hAnsi="Times New Roman" w:eastAsia="Times New Roman"/>
          <w:i w:val="0"/>
          <w:color w:val="111111"/>
          <w:sz w:val="24"/>
        </w:rPr>
        <w:t>Das Dokument bündelt diese Aufgaben unter drei Leitbegriffen: Stimmstabilität, Ergonomie und Schwingungssteuerung. Diese Verdichtung ist überzeugend, weil sie nicht bei den historischen Produktnamen stehen bleibt, sondern die übergeordneten technischen Funktionen sichtbar macht. In dieser Lesart erklärt sich die behauptete Langlebigkeit von Baileys Erfindungen daraus, dass sie keine vorübergehenden Stilfragen, sondern wiederkehrende praktische Probleme adressieren.</w:t>
      </w:r>
    </w:p>
    <w:p>
      <w:pPr>
        <w:pStyle w:val="Heading1"/>
        <w:keepNext/>
      </w:pPr>
      <w:r>
        <w:t>8. Bailey als praxisnaher Hardware-Entwickler</w:t>
      </w:r>
    </w:p>
    <w:p>
      <w:pPr/>
      <w:r>
        <w:rPr>
          <w:rFonts w:ascii="Times New Roman" w:hAnsi="Times New Roman" w:eastAsia="Times New Roman"/>
          <w:i w:val="0"/>
          <w:color w:val="111111"/>
          <w:sz w:val="24"/>
        </w:rPr>
        <w:t>Die wichtigste biografische Konsequenz der Untersuchung liegt in einer Erweiterung des Bailey-Bildes. Er erscheint nicht mehr ausschließlich als Pädagoge oder Verfasser einer erfolgreichen Ukulelenmethode. Die Patente zeigen zumindest, dass er technische Probleme des Musizierens beobachtete und in patentfähige Lösungsvorschläge überführte.</w:t>
      </w:r>
    </w:p>
    <w:p>
      <w:pPr/>
      <w:r>
        <w:rPr>
          <w:rFonts w:ascii="Times New Roman" w:hAnsi="Times New Roman" w:eastAsia="Times New Roman"/>
          <w:i w:val="0"/>
          <w:color w:val="111111"/>
          <w:sz w:val="24"/>
        </w:rPr>
        <w:t>Seine mögliche Stärke als Erfinder lag demnach in der Nähe zur Anwendung. Die ausgewählten Bauteile sind keine abstrakten Maschinenkomponenten, sondern Gegenstände, deren Schwächen ein Musiker im täglichen Gebrauch unmittelbar bemerkt: ein unzuverlässiger Wirbel, ein unbequemes Tragesystem oder eine ungünstige Kontaktstelle am Mundstück. Das passt zu einem Erfinderprofil, das aus praktischer Erfahrung heraus arbeitet.</w:t>
      </w:r>
    </w:p>
    <w:p>
      <w:pPr/>
      <w:r>
        <w:rPr>
          <w:rFonts w:ascii="Times New Roman" w:hAnsi="Times New Roman" w:eastAsia="Times New Roman"/>
          <w:i w:val="0"/>
          <w:color w:val="111111"/>
          <w:sz w:val="24"/>
        </w:rPr>
        <w:t>Zugleich ist Zurückhaltung gegenüber einer nachträglichen Überhöhung angebracht. Drei nachweisbare Patente machen Bailey zu einem Hardware-Erfinder; sie belegen aber noch nicht automatisch, dass er alleiniger Ursprung sämtlicher späterer Bauformen war. Seine historische Bedeutung lässt sich am sichersten dort formulieren, wo Dokumente und Technikvergleich zusammenkommen: Bailey identifizierte früh drei dauerhaft relevante Problemfelder und entwickelte dafür patentierte Lösungen.</w:t>
      </w:r>
    </w:p>
    <w:p>
      <w:pPr>
        <w:pStyle w:val="Heading1"/>
        <w:keepNext/>
      </w:pPr>
      <w:r>
        <w:t>9. Aussagekraft des Marktarguments</w:t>
      </w:r>
    </w:p>
    <w:p>
      <w:pPr/>
      <w:r>
        <w:rPr>
          <w:rFonts w:ascii="Times New Roman" w:hAnsi="Times New Roman" w:eastAsia="Times New Roman"/>
          <w:i w:val="0"/>
          <w:color w:val="111111"/>
          <w:sz w:val="24"/>
        </w:rPr>
        <w:t>Ein zentrales Argument des Ausgangstextes lautet, die Patente seien keine „toten Register“, weil vergleichbare Bauteile bis heute auf dem Markt vorkommen. Diese Formulierung macht einen wichtigen Punkt sichtbar: Ein Patent kann historisch bedeutsam sein, obwohl sein ursprünglicher Schutz längst abgelaufen ist und das konkrete Produkt nicht mehr unverändert hergestellt wird. Seine Aufgabenstellung kann in späteren Produkten fortleben.</w:t>
      </w:r>
    </w:p>
    <w:p>
      <w:pPr/>
      <w:r>
        <w:rPr>
          <w:rFonts w:ascii="Times New Roman" w:hAnsi="Times New Roman" w:eastAsia="Times New Roman"/>
          <w:i w:val="0"/>
          <w:color w:val="111111"/>
          <w:sz w:val="24"/>
        </w:rPr>
        <w:t>Für eine belastbare Bewertung muss jedoch zwischen Marktpräsenz und Patentrezeption unterschieden werden. Marktpräsenz zeigt, dass ein Bedarf fortbesteht. Patentrezeption zeigt, dass ein bestimmtes früheres Schutzrecht in der Entwicklungsgeschichte späterer Lösungen tatsächlich wirksam war. Das Dokument liefert nach der vorliegenden Kurzfassung vor allem Argumente für die erste und teilweise für die zweite Ebene; die direkte Rezeption wäre im Volltext anhand genauer Nachweise zu prüfen.</w:t>
      </w:r>
    </w:p>
    <w:p>
      <w:pPr>
        <w:pStyle w:val="Heading1"/>
        <w:keepNext/>
      </w:pPr>
      <w:r>
        <w:t>10. Gesamtfazit</w:t>
      </w:r>
    </w:p>
    <w:p>
      <w:pPr/>
      <w:r>
        <w:rPr>
          <w:rFonts w:ascii="Times New Roman" w:hAnsi="Times New Roman" w:eastAsia="Times New Roman"/>
          <w:i w:val="0"/>
          <w:color w:val="111111"/>
          <w:sz w:val="24"/>
        </w:rPr>
        <w:t>Der Kernbefund der Untersuchung ist klar: Nelson B. Bailey lässt sich nach dem zugrunde gelegten Patentmaterial für mindestens drei US-Patente als Erfinder im Bereich des Instrumentenzubehörs fassen. Die Schutzrechte von 1915, 1928 und 1929 betreffen drei verschiedene, aber dauerhaft wichtige Funktionsbereiche: das zuverlässige Stimmen eines Saiteninstruments, das ergonomische Tragen eines Instruments und die kontrollierte Gestaltung von Kontakt und Schwingung im Bereich eines Mundstücks.</w:t>
      </w:r>
    </w:p>
    <w:p>
      <w:pPr/>
      <w:r>
        <w:rPr>
          <w:rFonts w:ascii="Times New Roman" w:hAnsi="Times New Roman" w:eastAsia="Times New Roman"/>
          <w:i w:val="0"/>
          <w:color w:val="111111"/>
          <w:sz w:val="24"/>
        </w:rPr>
        <w:t>Die vom Dokument herangezogenen späteren Patente und heutigen Herstellerprodukte sollen zeigen, dass diese Aufgaben bis 2026 technisch und wirtschaftlich relevant geblieben sind. Als historisch gut begründbare Aussage lässt sich daraus ableiten, dass Bailey Probleme bearbeitete, die nicht verschwanden, sondern immer wieder neue Lösungen hervorbrachten. Darin liegt die stärkste Form seiner technischen Kontinuität.</w:t>
      </w:r>
    </w:p>
    <w:p>
      <w:pPr/>
      <w:r>
        <w:rPr>
          <w:rFonts w:ascii="Times New Roman" w:hAnsi="Times New Roman" w:eastAsia="Times New Roman"/>
          <w:i w:val="0"/>
          <w:color w:val="111111"/>
          <w:sz w:val="24"/>
        </w:rPr>
        <w:t>Weitergehende Aussagen – moderne Wirbel beruhten auf Baileys Prinzip oder heutige Ligaturen seien direkte Weiterentwicklungen seines Mundstückansatzes – sind als prüfbedürftige Thesen zu behandeln. Sie können zutreffen, benötigen aber einen lückenlosen Vergleich der Patentansprüche, Zeichnungen, Zitationen und Herstellerunterlagen. Eine solche Präzisierung schwächt den Kernbefund nicht, sondern macht ihn wissenschaftlich belastbarer.</w:t>
      </w:r>
    </w:p>
    <w:p>
      <w:pPr/>
      <w:r>
        <w:rPr>
          <w:rFonts w:ascii="Times New Roman" w:hAnsi="Times New Roman" w:eastAsia="Times New Roman"/>
          <w:i w:val="0"/>
          <w:color w:val="111111"/>
          <w:sz w:val="24"/>
        </w:rPr>
        <w:t>Insgesamt erweitert die Untersuchung das Bild Nelson B. Baileys überzeugend. Er wird als jemand sichtbar, der musikalische Praxis nicht nur vermittelte, sondern technische Schwachstellen erkannte und in konkrete Hardwarelösungen übersetzte. Die Dauerhaftigkeit der von ihm bearbeiteten Problemfelder erklärt, weshalb seine Patente auch mehr als neun Jahrzehnte nach dem jüngsten Schutzrecht noch forschungsgeschichtlich interessant sind.</w:t>
      </w:r>
    </w:p>
    <w:p>
      <w:pPr>
        <w:pStyle w:val="Heading1"/>
        <w:keepNext/>
      </w:pPr>
      <w:r>
        <w:t>11. Verdichtete Kernaussagen</w:t>
      </w:r>
    </w:p>
    <w:p>
      <w:pPr>
        <w:numPr>
          <w:ilvl w:val="0"/>
          <w:numId w:val="1"/>
        </w:numPr>
        <w:spacing w:after="80" w:line="312" w:lineRule="auto"/>
      </w:pPr>
      <w:r>
        <w:rPr>
          <w:rFonts w:ascii="Times New Roman" w:hAnsi="Times New Roman" w:eastAsia="Times New Roman"/>
          <w:color w:val="111111"/>
          <w:sz w:val="24"/>
        </w:rPr>
        <w:t>Bailey ist nach dem Ausgangstext für drei US-Patente im Instrumenten- und Zubehörbereich nachweisbar: Reibungswirbel (1915), Hanger (1928) und Mundstück (1929).</w:t>
      </w:r>
    </w:p>
    <w:p>
      <w:pPr>
        <w:numPr>
          <w:ilvl w:val="0"/>
          <w:numId w:val="1"/>
        </w:numPr>
        <w:spacing w:after="80" w:line="312" w:lineRule="auto"/>
      </w:pPr>
      <w:r>
        <w:rPr>
          <w:rFonts w:ascii="Times New Roman" w:hAnsi="Times New Roman" w:eastAsia="Times New Roman"/>
          <w:color w:val="111111"/>
          <w:sz w:val="24"/>
        </w:rPr>
        <w:t>Die drei Schutzrechte betreffen Schnittstellen zwischen Instrument, Mechanik und Spieler und damit besonders praxisnahe Funktionsprobleme.</w:t>
      </w:r>
    </w:p>
    <w:p>
      <w:pPr>
        <w:numPr>
          <w:ilvl w:val="0"/>
          <w:numId w:val="1"/>
        </w:numPr>
        <w:spacing w:after="80" w:line="312" w:lineRule="auto"/>
      </w:pPr>
      <w:r>
        <w:rPr>
          <w:rFonts w:ascii="Times New Roman" w:hAnsi="Times New Roman" w:eastAsia="Times New Roman"/>
          <w:color w:val="111111"/>
          <w:sz w:val="24"/>
        </w:rPr>
        <w:t>Ihre gemeinsame Klammer bilden Stimmstabilität, Ergonomie und Schwingungs- beziehungsweise Kontaktsteuerung.</w:t>
      </w:r>
    </w:p>
    <w:p>
      <w:pPr>
        <w:numPr>
          <w:ilvl w:val="0"/>
          <w:numId w:val="1"/>
        </w:numPr>
        <w:spacing w:after="80" w:line="312" w:lineRule="auto"/>
      </w:pPr>
      <w:r>
        <w:rPr>
          <w:rFonts w:ascii="Times New Roman" w:hAnsi="Times New Roman" w:eastAsia="Times New Roman"/>
          <w:color w:val="111111"/>
          <w:sz w:val="24"/>
        </w:rPr>
        <w:t>Spätere Patente und heutige Produkte belegen sicher die Fortdauer dieser Aufgaben; sie belegen nicht ohne Weiteres eine direkte Abstammung von Bailey.</w:t>
      </w:r>
    </w:p>
    <w:p>
      <w:pPr>
        <w:numPr>
          <w:ilvl w:val="0"/>
          <w:numId w:val="1"/>
        </w:numPr>
        <w:spacing w:after="80" w:line="312" w:lineRule="auto"/>
      </w:pPr>
      <w:r>
        <w:rPr>
          <w:rFonts w:ascii="Times New Roman" w:hAnsi="Times New Roman" w:eastAsia="Times New Roman"/>
          <w:color w:val="111111"/>
          <w:sz w:val="24"/>
        </w:rPr>
        <w:t>Baileys Rolle sollte deshalb als die eines frühen, praxisorientierten Hardware-Erfinders beschrieben werden, dessen Lösungsfelder bis heute relevant geblieben sind.</w:t>
      </w:r>
    </w:p>
    <w:p>
      <w:pPr>
        <w:numPr>
          <w:ilvl w:val="0"/>
          <w:numId w:val="1"/>
        </w:numPr>
        <w:spacing w:after="80" w:line="312" w:lineRule="auto"/>
      </w:pPr>
      <w:r>
        <w:rPr>
          <w:rFonts w:ascii="Times New Roman" w:hAnsi="Times New Roman" w:eastAsia="Times New Roman"/>
          <w:color w:val="111111"/>
          <w:sz w:val="24"/>
        </w:rPr>
        <w:t>Die nächste Forschungsstufe sollte Patentnummern, Ansprüche, Zeichnungen, Zitationsketten, zeitgenössische Fachpresse und Herstellerunterlagen systematisch gegeneinander prüfen.</w:t>
      </w:r>
    </w:p>
    <w:p>
      <w:pPr>
        <w:pStyle w:val="Heading1"/>
        <w:keepNext/>
      </w:pPr>
      <w:r>
        <w:t>12. Empfohlene nächste Prüfschritte</w:t>
      </w:r>
    </w:p>
    <w:p>
      <w:pPr/>
      <w:r>
        <w:rPr>
          <w:rFonts w:ascii="Times New Roman" w:hAnsi="Times New Roman" w:eastAsia="Times New Roman"/>
          <w:i w:val="0"/>
          <w:color w:val="111111"/>
          <w:sz w:val="24"/>
        </w:rPr>
        <w:t>Um aus der vorliegenden Zusammenfassung eine veröffentlichungsfähige, quellenkritische Studie zu entwickeln, wären fünf Arbeitsschritte besonders wichtig:</w:t>
      </w:r>
    </w:p>
    <w:p>
      <w:pPr>
        <w:numPr>
          <w:ilvl w:val="0"/>
          <w:numId w:val="1"/>
        </w:numPr>
        <w:spacing w:after="80" w:line="312" w:lineRule="auto"/>
      </w:pPr>
      <w:r>
        <w:rPr>
          <w:rFonts w:ascii="Times New Roman" w:hAnsi="Times New Roman" w:eastAsia="Times New Roman"/>
          <w:color w:val="111111"/>
          <w:sz w:val="24"/>
        </w:rPr>
        <w:t>Die drei Bailey-Patente vollständig erfassen: Patentnummer, Anmeldetag, Erteilungstag, Erfinder, Anmelder, Ansprüche, Zeichnungen und gegebenenfalls Mitinhaber.</w:t>
      </w:r>
    </w:p>
    <w:p>
      <w:pPr>
        <w:numPr>
          <w:ilvl w:val="0"/>
          <w:numId w:val="1"/>
        </w:numPr>
        <w:spacing w:after="80" w:line="312" w:lineRule="auto"/>
      </w:pPr>
      <w:r>
        <w:rPr>
          <w:rFonts w:ascii="Times New Roman" w:hAnsi="Times New Roman" w:eastAsia="Times New Roman"/>
          <w:color w:val="111111"/>
          <w:sz w:val="24"/>
        </w:rPr>
        <w:t>Die genannten Folgepatente von 1923, 1929, 1950, 1982, 1984, 1998, 1999, 2001 und 2010 eindeutig identifizieren und auf Rückwärtszitate zu Bailey prüfen.</w:t>
      </w:r>
    </w:p>
    <w:p>
      <w:pPr>
        <w:numPr>
          <w:ilvl w:val="0"/>
          <w:numId w:val="1"/>
        </w:numPr>
        <w:spacing w:after="80" w:line="312" w:lineRule="auto"/>
      </w:pPr>
      <w:r>
        <w:rPr>
          <w:rFonts w:ascii="Times New Roman" w:hAnsi="Times New Roman" w:eastAsia="Times New Roman"/>
          <w:color w:val="111111"/>
          <w:sz w:val="24"/>
        </w:rPr>
        <w:t>Nicht nur ähnliche Funktionen, sondern konkrete gemeinsame Konstruktionsmerkmale in einer Merkmalsmatrix vergleichen.</w:t>
      </w:r>
    </w:p>
    <w:p>
      <w:pPr>
        <w:numPr>
          <w:ilvl w:val="0"/>
          <w:numId w:val="1"/>
        </w:numPr>
        <w:spacing w:after="80" w:line="312" w:lineRule="auto"/>
      </w:pPr>
      <w:r>
        <w:rPr>
          <w:rFonts w:ascii="Times New Roman" w:hAnsi="Times New Roman" w:eastAsia="Times New Roman"/>
          <w:color w:val="111111"/>
          <w:sz w:val="24"/>
        </w:rPr>
        <w:t>Für Knilling, Wittner, Vandoren und Rovner historische Produktunterlagen, technische Beschreibungen und gegebenenfalls Aussagen zur Entwicklungsgeschichte heranziehen.</w:t>
      </w:r>
    </w:p>
    <w:p>
      <w:pPr>
        <w:numPr>
          <w:ilvl w:val="0"/>
          <w:numId w:val="1"/>
        </w:numPr>
        <w:spacing w:after="80" w:line="312" w:lineRule="auto"/>
      </w:pPr>
      <w:r>
        <w:rPr>
          <w:rFonts w:ascii="Times New Roman" w:hAnsi="Times New Roman" w:eastAsia="Times New Roman"/>
          <w:color w:val="111111"/>
          <w:sz w:val="24"/>
        </w:rPr>
        <w:t>In der Endfassung jede Schlussfolgerung nach Belegstärke kennzeichnen: nachgewiesene Patentbeziehung, technische Ähnlichkeit, problemgeschichtliche Kontinuität oder bloße Marktparallele.</w:t>
      </w:r>
    </w:p>
    <w:tbl>
      <w:tblPr>
        <w:tblW w:type="dxa" w:w="9072"/>
        <w:jc w:val="left"/>
        <w:tblLayout w:type="fixed"/>
        <w:tblLook w:firstColumn="1" w:firstRow="1" w:lastColumn="0" w:lastRow="0" w:noHBand="0" w:noVBand="1" w:val="04A0"/>
        <w:tblInd w:w="120" w:type="dxa"/>
        <w:tblBorders>
          <w:top w:val="single" w:sz="4" w:space="0" w:color="AEBBC4"/>
          <w:left w:val="single" w:sz="4" w:space="0" w:color="AEBBC4"/>
          <w:bottom w:val="single" w:sz="4" w:space="0" w:color="AEBBC4"/>
          <w:right w:val="single" w:sz="4" w:space="0" w:color="AEBBC4"/>
          <w:insideH w:val="single" w:sz="4" w:space="0" w:color="AEBBC4"/>
          <w:insideV w:val="single" w:sz="4" w:space="0" w:color="AEBBC4"/>
        </w:tblBorders>
      </w:tblPr>
      <w:tblGrid>
        <w:gridCol w:w="9072"/>
      </w:tblGrid>
      <w:tr>
        <w:tc>
          <w:tcPr>
            <w:tcW w:type="dxa" w:w="9072"/>
            <w:tcMar>
              <w:top w:w="100" w:type="dxa"/>
              <w:start w:w="120" w:type="dxa"/>
              <w:bottom w:w="100" w:type="dxa"/>
              <w:end w:w="120" w:type="dxa"/>
            </w:tcMar>
            <w:vAlign w:val="center"/>
            <w:shd w:fill="F4F6F9"/>
          </w:tcPr>
          <w:p>
            <w:pPr>
              <w:spacing w:before="40" w:after="40" w:line="300" w:lineRule="auto"/>
            </w:pPr>
            <w:r>
              <w:rPr>
                <w:rFonts w:ascii="Times New Roman" w:hAnsi="Times New Roman" w:eastAsia="Times New Roman"/>
                <w:b/>
                <w:color w:val="1F4D78"/>
                <w:sz w:val="22"/>
              </w:rPr>
              <w:t xml:space="preserve">Schlussformel: </w:t>
            </w:r>
            <w:r>
              <w:rPr>
                <w:rFonts w:ascii="Times New Roman" w:hAnsi="Times New Roman" w:eastAsia="Times New Roman"/>
                <w:color w:val="111111"/>
                <w:sz w:val="22"/>
              </w:rPr>
              <w:t>Der belastbare Kern lautet nicht, dass jede moderne Lösung unmittelbar von Bailey abstammt. Belastbar ist vielmehr, dass Bailey drei langlebige technische Problemfelder des Instrumentengebrauchs patentförmig bearbeitete und damit als Erfinder eine deutlich größere Rolle verdient, als ihm eine ausschließlich musikpädagogische Betrachtung zugesteht.</w:t>
            </w:r>
          </w:p>
        </w:tc>
      </w:tr>
    </w:tbl>
    <w:p>
      <w:pPr>
        <w:spacing w:after="40"/>
      </w:pPr>
    </w:p>
    <w:sectPr w:rsidR="00FC693F" w:rsidRPr="0006063C" w:rsidSect="00034616">
      <w:headerReference w:type="default" r:id="rId9"/>
      <w:footerReference w:type="default" r:id="rId10"/>
      <w:pgSz w:w="11906" w:h="16838"/>
      <w:pgMar w:top="1417" w:right="1417" w:bottom="1417" w:left="1417" w:header="709" w:footer="709"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Calibri" w:hAnsi="Calibri" w:eastAsia="Calibri"/>
        <w:color w:val="666666"/>
        <w:sz w:val="18"/>
      </w:rPr>
      <w:t xml:space="preserve">Seite </w:t>
    </w:r>
    <w:r>
      <w:rPr>
        <w:rFonts w:ascii="Calibri" w:hAnsi="Calibri" w:eastAsia="Calibri"/>
        <w:color w:val="666666"/>
        <w:sz w:val="18"/>
      </w:rPr>
      <w:fldChar w:fldCharType="begin"/>
      <w:instrText xml:space="preserve">PAGE</w:instrText>
      <w:fldChar w:fldCharType="separate"/>
      <w:t>1</w:t>
      <w:fldChar w:fldCharType="end"/>
    </w:r>
    <w:r>
      <w:rPr>
        <w:rFonts w:ascii="Calibri" w:hAnsi="Calibri" w:eastAsia="Calibri"/>
        <w:color w:val="666666"/>
        <w:sz w:val="18"/>
      </w:rPr>
      <w:t xml:space="preserve"> von </w:t>
    </w:r>
    <w:r>
      <w:rPr>
        <w:rFonts w:ascii="Calibri" w:hAnsi="Calibri" w:eastAsia="Calibri"/>
        <w:color w:val="666666"/>
        <w:sz w:val="18"/>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Calibri" w:hAnsi="Calibri" w:eastAsia="Calibri"/>
        <w:b/>
        <w:color w:val="666666"/>
        <w:sz w:val="17"/>
      </w:rPr>
      <w:t>NELSON B. BAILEY – PATENTE UND KONTINUITÄT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42">
    <w:multiLevelType w:val="singleLevel"/>
    <w:lvl w:ilvl="0">
      <w:start w:val="1"/>
      <w:numFmt w:val="bullet"/>
      <w:lvlText w:val="•"/>
      <w:lvlJc w:val="left"/>
      <w:pPr>
        <w:tabs>
          <w:tab w:val="num" w:pos="540"/>
        </w:tabs>
        <w:ind w:left="540" w:hanging="280"/>
        <w:spacing w:after="80" w:line="312" w:lineRule="auto"/>
      </w:pPr>
      <w:rPr>
        <w:rFonts w:ascii="Times New Roman" w:hAnsi="Times New Roman"/>
      </w:rPr>
    </w:lvl>
  </w:abstractNum>
  <w:num w:numId="1">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60" w:line="360" w:lineRule="auto"/>
      <w:jc w:val="both"/>
    </w:pPr>
    <w:rPr>
      <w:rFonts w:ascii="Times New Roman" w:hAnsi="Times New Roman"/>
      <w:color w:val="111111"/>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Times New Roman" w:hAnsi="Times New Roman"/>
      <w:b/>
      <w:bCs/>
      <w:color w:val="2E5E78"/>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Times New Roman" w:hAnsi="Times New Roman"/>
      <w:b/>
      <w:bCs/>
      <w:color w:val="2E5E78"/>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Times New Roman" w:hAnsi="Times New Roman"/>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Times New Roman" w:hAnsi="Times New Roman"/>
      <w:i w:val="0"/>
      <w:iCs/>
      <w:color w:val="2E5E78"/>
      <w:spacing w:val="15"/>
      <w:sz w:val="30"/>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Nelson B. Baileys US-Patente – ausführliche Zusammenfassung</dc:title>
  <dc:subject>Nutzung und technische Kontinuität von drei US-Patenten, 1915–2026</dc:subject>
  <dc:creator>Andreas Fischer</dc:creator>
  <cp:keywords>Nelson B. Bailey; Patent; Musikinstrument; Wirbel; Hanger; Mundstück</cp:keywords>
  <dc:description>Erstellt auf Grundlage des vom Nutzer bereitgestellten Ausgangstextes.</dc:description>
  <cp:lastModifiedBy/>
  <cp:revision>1</cp:revision>
  <dcterms:created xsi:type="dcterms:W3CDTF">2013-12-23T23:15:00Z</dcterms:created>
  <dcterms:modified xsi:type="dcterms:W3CDTF">2013-12-23T23:15:00Z</dcterms:modified>
  <cp:category/>
</cp:coreProperties>
</file>