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20"/>
        <w:jc w:val="center"/>
      </w:pPr>
      <w:r>
        <w:rPr>
          <w:rFonts w:ascii="Times New Roman" w:hAnsi="Times New Roman"/>
          <w:b/>
          <w:sz w:val="48"/>
        </w:rPr>
        <w:t>Nelson Burdette Bailey</w:t>
        <w:br/>
        <w:t>und die kulturelle Skalierung</w:t>
        <w:br/>
        <w:t>der frühen Ukulelenmoderne</w:t>
      </w:r>
    </w:p>
    <w:p>
      <w:pPr>
        <w:spacing w:after="240"/>
        <w:jc w:val="center"/>
      </w:pPr>
      <w:r>
        <w:rPr>
          <w:rFonts w:ascii="Times New Roman" w:hAnsi="Times New Roman"/>
          <w:i/>
          <w:sz w:val="30"/>
        </w:rPr>
        <w:t>Inhaltlich geprüfte und überarbeitete Arbeitsfassung</w:t>
      </w:r>
    </w:p>
    <w:p>
      <w:pPr>
        <w:spacing w:after="360"/>
        <w:jc w:val="center"/>
      </w:pPr>
      <w:r>
        <w:rPr>
          <w:rFonts w:ascii="Times New Roman" w:hAnsi="Times New Roman"/>
          <w:sz w:val="24"/>
        </w:rPr>
        <w:t>Für Andreas Fischer</w:t>
        <w:br/>
        <w:t>Juli 2026</w:t>
      </w:r>
    </w:p>
    <w:p>
      <w:pPr>
        <w:jc w:val="center"/>
      </w:pPr>
      <w:r>
        <w:rPr>
          <w:rFonts w:ascii="Times New Roman" w:hAnsi="Times New Roman"/>
          <w:b/>
          <w:sz w:val="24"/>
        </w:rPr>
        <w:t>Leitthese der Überarbeitung</w:t>
      </w:r>
    </w:p>
    <w:p>
      <w:pPr>
        <w:spacing w:after="120" w:line="276" w:lineRule="auto"/>
        <w:jc w:val="center"/>
      </w:pPr>
      <w:r>
        <w:rPr>
          <w:rFonts w:ascii="Times New Roman" w:hAnsi="Times New Roman"/>
          <w:b w:val="0"/>
          <w:i w:val="0"/>
          <w:sz w:val="23"/>
        </w:rPr>
        <w:t>Nelson Burdette Bailey war nicht bloß ein Autor einzelner Ukulelenhefte, sondern eine zentrale Vermittlungs- und Infrastrukturfigur der frühen amerikanischen Mainland-Ukulelenkultur. Seine Bedeutung liegt in der Verbindung von Selbstunterricht, Repertoire, Verlagssystem, Marktpräsenz und praktischer musikalischer Zugänglichkeit.</w:t>
      </w:r>
    </w:p>
    <w:p>
      <w:r>
        <w:br w:type="page"/>
      </w:r>
    </w:p>
    <w:p>
      <w:pPr>
        <w:pStyle w:val="Heading1"/>
        <w:keepNext/>
        <w:spacing w:before="280" w:after="120"/>
        <w:ind w:firstLine="0"/>
      </w:pPr>
      <w:r>
        <w:rPr>
          <w:rFonts w:ascii="Times New Roman" w:hAnsi="Times New Roman"/>
          <w:b/>
          <w:i w:val="0"/>
          <w:sz w:val="32"/>
        </w:rPr>
        <w:t>Editorischer Hinweis zur Überarbeitung</w:t>
      </w:r>
    </w:p>
    <w:p>
      <w:pPr>
        <w:spacing w:after="120" w:line="276" w:lineRule="auto"/>
        <w:ind w:firstLine="283"/>
      </w:pPr>
      <w:r>
        <w:rPr>
          <w:rFonts w:ascii="Times New Roman" w:hAnsi="Times New Roman"/>
          <w:b w:val="0"/>
          <w:i w:val="0"/>
          <w:sz w:val="23"/>
        </w:rPr>
        <w:t>Die vorliegende Fassung ist keine bloße sprachliche Glättung, sondern eine inhaltliche Neuordnung des Manuskripts. Die starke Hauptthese bleibt erhalten und wird an mehreren Stellen sogar entschiedener formuliert. Überarbeitet wurden vor allem Struktur, Argumentationsführung, Beleglogik, Wiederholungen und die klare Trennung zwischen Werkbefund, Marktindikator und kulturhistorischer Deutung.</w:t>
      </w:r>
    </w:p>
    <w:p>
      <w:pPr>
        <w:spacing w:after="120" w:line="276" w:lineRule="auto"/>
        <w:ind w:firstLine="283"/>
      </w:pPr>
      <w:r>
        <w:rPr>
          <w:rFonts w:ascii="Times New Roman" w:hAnsi="Times New Roman"/>
          <w:b w:val="0"/>
          <w:i w:val="0"/>
          <w:sz w:val="23"/>
        </w:rPr>
        <w:t>Die ursprüngliche 100-Seiten-Fassung enthielt eine tragfähige Grundidee, aber zahlreiche mechanische Wiederholungen. Diese Wiederholungen erzeugten Umfang, ohne die Argumentation wirklich zu vertiefen. Die neue Fassung ersetzt diese Redundanz durch thematische Kapitel, eine Quellenmatrix und pointierte Schlussformulierungen. Der Text argumentiert dadurch kompakter, härter und überprüfbarer.</w:t>
      </w:r>
    </w:p>
    <w:p>
      <w:pPr>
        <w:spacing w:after="120" w:line="276" w:lineRule="auto"/>
        <w:ind w:firstLine="283"/>
      </w:pPr>
      <w:r>
        <w:rPr>
          <w:rFonts w:ascii="Times New Roman" w:hAnsi="Times New Roman"/>
          <w:b w:val="0"/>
          <w:i w:val="0"/>
          <w:sz w:val="23"/>
        </w:rPr>
        <w:t>Die Formulierungslinie lautet bewusst nicht defensiv: Bailey wird als Systemautor, als Architekt kultureller Zugänglichkeit und als Schlüsselfigur der frühen Mainland-Ukulelenmoderne gefasst. Wo der Quellenstand eine direkte Aussage trägt, wird sie direkt ausgesprochen. Wo eine Aussage aus mehreren Befundtypen entsteht, wird die Belegkette sichtbar gemacht, ohne die These abzuschwächen.</w:t>
      </w:r>
    </w:p>
    <w:p>
      <w:pPr>
        <w:pStyle w:val="Heading1"/>
        <w:keepNext/>
        <w:spacing w:before="280" w:after="120"/>
        <w:ind w:firstLine="0"/>
      </w:pPr>
      <w:r>
        <w:rPr>
          <w:rFonts w:ascii="Times New Roman" w:hAnsi="Times New Roman"/>
          <w:b/>
          <w:i w:val="0"/>
          <w:sz w:val="32"/>
        </w:rPr>
        <w:t>Inhaltsverzeichnis</w:t>
      </w:r>
    </w:p>
    <w:p>
      <w:pPr>
        <w:spacing w:after="40"/>
      </w:pPr>
      <w:r>
        <w:rPr>
          <w:rFonts w:ascii="Times New Roman" w:hAnsi="Times New Roman"/>
          <w:b/>
          <w:sz w:val="23"/>
        </w:rPr>
        <w:t>I. Inhaltlicher Prüfvermerk</w:t>
      </w:r>
    </w:p>
    <w:p>
      <w:pPr>
        <w:spacing w:after="0" w:line="276" w:lineRule="auto"/>
      </w:pPr>
      <w:r>
        <w:rPr>
          <w:rFonts w:ascii="Times New Roman" w:hAnsi="Times New Roman"/>
          <w:b w:val="0"/>
          <w:i w:val="0"/>
          <w:sz w:val="23"/>
        </w:rPr>
        <w:t>1. Hauptbefund</w:t>
      </w:r>
    </w:p>
    <w:p>
      <w:pPr>
        <w:spacing w:after="0" w:line="276" w:lineRule="auto"/>
      </w:pPr>
      <w:r>
        <w:rPr>
          <w:rFonts w:ascii="Times New Roman" w:hAnsi="Times New Roman"/>
          <w:b w:val="0"/>
          <w:i w:val="0"/>
          <w:sz w:val="23"/>
        </w:rPr>
        <w:t>2. Überarbeitungsentscheidungen</w:t>
      </w:r>
    </w:p>
    <w:p>
      <w:pPr>
        <w:spacing w:after="0" w:line="276" w:lineRule="auto"/>
      </w:pPr>
      <w:r>
        <w:rPr>
          <w:rFonts w:ascii="Times New Roman" w:hAnsi="Times New Roman"/>
          <w:b w:val="0"/>
          <w:i w:val="0"/>
          <w:sz w:val="23"/>
        </w:rPr>
        <w:t>3. Präzisierte Endthese</w:t>
      </w:r>
    </w:p>
    <w:p>
      <w:pPr>
        <w:spacing w:after="40"/>
      </w:pPr>
      <w:r>
        <w:rPr>
          <w:rFonts w:ascii="Times New Roman" w:hAnsi="Times New Roman"/>
          <w:b/>
          <w:sz w:val="23"/>
        </w:rPr>
        <w:t>II. Überarbeitete Monografie</w:t>
      </w:r>
    </w:p>
    <w:p>
      <w:pPr>
        <w:spacing w:after="0" w:line="276" w:lineRule="auto"/>
      </w:pPr>
      <w:r>
        <w:rPr>
          <w:rFonts w:ascii="Times New Roman" w:hAnsi="Times New Roman"/>
          <w:b w:val="0"/>
          <w:i w:val="0"/>
          <w:sz w:val="23"/>
        </w:rPr>
        <w:t>1. Bailey als Problem der Musikgeschichtsschreibung</w:t>
      </w:r>
    </w:p>
    <w:p>
      <w:pPr>
        <w:spacing w:after="0" w:line="276" w:lineRule="auto"/>
      </w:pPr>
      <w:r>
        <w:rPr>
          <w:rFonts w:ascii="Times New Roman" w:hAnsi="Times New Roman"/>
          <w:b w:val="0"/>
          <w:i w:val="0"/>
          <w:sz w:val="23"/>
        </w:rPr>
        <w:t>2. Quellenlage und Belegkategorien</w:t>
      </w:r>
    </w:p>
    <w:p>
      <w:pPr>
        <w:spacing w:after="0" w:line="276" w:lineRule="auto"/>
      </w:pPr>
      <w:r>
        <w:rPr>
          <w:rFonts w:ascii="Times New Roman" w:hAnsi="Times New Roman"/>
          <w:b w:val="0"/>
          <w:i w:val="0"/>
          <w:sz w:val="23"/>
        </w:rPr>
        <w:t>3. Bailey als historischer Akteur und bibliografische Signatur</w:t>
      </w:r>
    </w:p>
    <w:p>
      <w:pPr>
        <w:spacing w:after="0" w:line="276" w:lineRule="auto"/>
      </w:pPr>
      <w:r>
        <w:rPr>
          <w:rFonts w:ascii="Times New Roman" w:hAnsi="Times New Roman"/>
          <w:b w:val="0"/>
          <w:i w:val="0"/>
          <w:sz w:val="23"/>
        </w:rPr>
        <w:t>4. Sherman, Clay &amp; Co. als Infrastruktur</w:t>
      </w:r>
    </w:p>
    <w:p>
      <w:pPr>
        <w:spacing w:after="0" w:line="276" w:lineRule="auto"/>
      </w:pPr>
      <w:r>
        <w:rPr>
          <w:rFonts w:ascii="Times New Roman" w:hAnsi="Times New Roman"/>
          <w:b w:val="0"/>
          <w:i w:val="0"/>
          <w:sz w:val="23"/>
        </w:rPr>
        <w:t>5. San Francisco, PPIE und die Westküstenperspektive</w:t>
      </w:r>
    </w:p>
    <w:p>
      <w:pPr>
        <w:spacing w:after="0" w:line="276" w:lineRule="auto"/>
      </w:pPr>
      <w:r>
        <w:rPr>
          <w:rFonts w:ascii="Times New Roman" w:hAnsi="Times New Roman"/>
          <w:b w:val="0"/>
          <w:i w:val="0"/>
          <w:sz w:val="23"/>
        </w:rPr>
        <w:t>6. Die Practical Method von 1914</w:t>
      </w:r>
    </w:p>
    <w:p>
      <w:pPr>
        <w:spacing w:after="0" w:line="276" w:lineRule="auto"/>
      </w:pPr>
      <w:r>
        <w:rPr>
          <w:rFonts w:ascii="Times New Roman" w:hAnsi="Times New Roman"/>
          <w:b w:val="0"/>
          <w:i w:val="0"/>
          <w:sz w:val="23"/>
        </w:rPr>
        <w:t>7. Songs from Aloha Land als Repertoire-Scharnier</w:t>
      </w:r>
    </w:p>
    <w:p>
      <w:pPr>
        <w:spacing w:after="0" w:line="276" w:lineRule="auto"/>
      </w:pPr>
      <w:r>
        <w:rPr>
          <w:rFonts w:ascii="Times New Roman" w:hAnsi="Times New Roman"/>
          <w:b w:val="0"/>
          <w:i w:val="0"/>
          <w:sz w:val="23"/>
        </w:rPr>
        <w:t>8. The Ukulele as a Solo Instrument</w:t>
      </w:r>
    </w:p>
    <w:p>
      <w:pPr>
        <w:spacing w:after="0" w:line="276" w:lineRule="auto"/>
      </w:pPr>
      <w:r>
        <w:rPr>
          <w:rFonts w:ascii="Times New Roman" w:hAnsi="Times New Roman"/>
          <w:b w:val="0"/>
          <w:i w:val="0"/>
          <w:sz w:val="23"/>
        </w:rPr>
        <w:t>9. Auflagen, Imprints und Marktbehauptung</w:t>
      </w:r>
    </w:p>
    <w:p>
      <w:pPr>
        <w:spacing w:after="0" w:line="276" w:lineRule="auto"/>
      </w:pPr>
      <w:r>
        <w:rPr>
          <w:rFonts w:ascii="Times New Roman" w:hAnsi="Times New Roman"/>
          <w:b w:val="0"/>
          <w:i w:val="0"/>
          <w:sz w:val="23"/>
        </w:rPr>
        <w:t>10. Kulturelle Skalierung und musikalische Selbstwirksamkeit</w:t>
      </w:r>
    </w:p>
    <w:p>
      <w:pPr>
        <w:spacing w:after="0" w:line="276" w:lineRule="auto"/>
      </w:pPr>
      <w:r>
        <w:rPr>
          <w:rFonts w:ascii="Times New Roman" w:hAnsi="Times New Roman"/>
          <w:b w:val="0"/>
          <w:i w:val="0"/>
          <w:sz w:val="23"/>
        </w:rPr>
        <w:t>11. Abgrenzung gegen falsche Überhöhung</w:t>
      </w:r>
    </w:p>
    <w:p>
      <w:pPr>
        <w:spacing w:after="0" w:line="276" w:lineRule="auto"/>
      </w:pPr>
      <w:r>
        <w:rPr>
          <w:rFonts w:ascii="Times New Roman" w:hAnsi="Times New Roman"/>
          <w:b w:val="0"/>
          <w:i w:val="0"/>
          <w:sz w:val="23"/>
        </w:rPr>
        <w:t>12. Andreas Fischers Forschungsbeitrag</w:t>
      </w:r>
    </w:p>
    <w:p>
      <w:pPr>
        <w:spacing w:after="0" w:line="276" w:lineRule="auto"/>
      </w:pPr>
      <w:r>
        <w:rPr>
          <w:rFonts w:ascii="Times New Roman" w:hAnsi="Times New Roman"/>
          <w:b w:val="0"/>
          <w:i w:val="0"/>
          <w:sz w:val="23"/>
        </w:rPr>
        <w:t>13. Schlussformel</w:t>
      </w:r>
    </w:p>
    <w:p>
      <w:pPr>
        <w:spacing w:after="40"/>
      </w:pPr>
      <w:r>
        <w:rPr>
          <w:rFonts w:ascii="Times New Roman" w:hAnsi="Times New Roman"/>
          <w:b/>
          <w:sz w:val="23"/>
        </w:rPr>
        <w:t>III. Dokumentation</w:t>
      </w:r>
    </w:p>
    <w:p>
      <w:pPr>
        <w:spacing w:after="0" w:line="276" w:lineRule="auto"/>
      </w:pPr>
      <w:r>
        <w:rPr>
          <w:rFonts w:ascii="Times New Roman" w:hAnsi="Times New Roman"/>
          <w:b w:val="0"/>
          <w:i w:val="0"/>
          <w:sz w:val="23"/>
        </w:rPr>
        <w:t>A. Chronologische Matrix</w:t>
      </w:r>
    </w:p>
    <w:p>
      <w:pPr>
        <w:spacing w:after="0" w:line="276" w:lineRule="auto"/>
      </w:pPr>
      <w:r>
        <w:rPr>
          <w:rFonts w:ascii="Times New Roman" w:hAnsi="Times New Roman"/>
          <w:b w:val="0"/>
          <w:i w:val="0"/>
          <w:sz w:val="23"/>
        </w:rPr>
        <w:t>B. Quellen- und Argumentationsmatrix</w:t>
      </w:r>
    </w:p>
    <w:p>
      <w:pPr>
        <w:spacing w:after="0" w:line="276" w:lineRule="auto"/>
      </w:pPr>
      <w:r>
        <w:rPr>
          <w:rFonts w:ascii="Times New Roman" w:hAnsi="Times New Roman"/>
          <w:b w:val="0"/>
          <w:i w:val="0"/>
          <w:sz w:val="23"/>
        </w:rPr>
        <w:t>C. Formulierungsbausteine für die Druckfassung</w:t>
      </w:r>
    </w:p>
    <w:p>
      <w:pPr>
        <w:spacing w:after="0" w:line="276" w:lineRule="auto"/>
      </w:pPr>
      <w:r>
        <w:rPr>
          <w:rFonts w:ascii="Times New Roman" w:hAnsi="Times New Roman"/>
          <w:b w:val="0"/>
          <w:i w:val="0"/>
          <w:sz w:val="23"/>
        </w:rPr>
        <w:t>D. Arbeitsprogramm</w:t>
      </w:r>
    </w:p>
    <w:p>
      <w:pPr>
        <w:spacing w:after="0" w:line="276" w:lineRule="auto"/>
      </w:pPr>
      <w:r>
        <w:rPr>
          <w:rFonts w:ascii="Times New Roman" w:hAnsi="Times New Roman"/>
          <w:b w:val="0"/>
          <w:i w:val="0"/>
          <w:sz w:val="23"/>
        </w:rPr>
        <w:t>E. Anmerkungen und Quellen</w:t>
      </w:r>
    </w:p>
    <w:p>
      <w:r>
        <w:br w:type="page"/>
      </w:r>
    </w:p>
    <w:p>
      <w:pPr>
        <w:pStyle w:val="Heading1"/>
        <w:keepNext/>
        <w:spacing w:before="280" w:after="120"/>
        <w:ind w:firstLine="0"/>
      </w:pPr>
      <w:r>
        <w:rPr>
          <w:rFonts w:ascii="Times New Roman" w:hAnsi="Times New Roman"/>
          <w:b/>
          <w:i w:val="0"/>
          <w:sz w:val="32"/>
        </w:rPr>
        <w:t>I. Inhaltlicher Prüfvermerk</w:t>
      </w:r>
    </w:p>
    <w:p>
      <w:pPr>
        <w:pStyle w:val="Heading2"/>
        <w:keepNext/>
        <w:spacing w:before="180" w:after="120"/>
        <w:ind w:firstLine="0"/>
      </w:pPr>
      <w:r>
        <w:rPr>
          <w:rFonts w:ascii="Times New Roman" w:hAnsi="Times New Roman"/>
          <w:b/>
          <w:i w:val="0"/>
          <w:sz w:val="27"/>
        </w:rPr>
        <w:t>1. Hauptbefund</w:t>
      </w:r>
    </w:p>
    <w:p>
      <w:pPr>
        <w:spacing w:after="120" w:line="276" w:lineRule="auto"/>
        <w:ind w:firstLine="283"/>
      </w:pPr>
      <w:r>
        <w:rPr>
          <w:rFonts w:ascii="Times New Roman" w:hAnsi="Times New Roman"/>
          <w:b w:val="0"/>
          <w:i w:val="0"/>
          <w:sz w:val="23"/>
        </w:rPr>
        <w:t>Das Manuskript besitzt eine starke, publikationsfähige Grundthese: Bailey ist als Infrastrukturfigur der frühen Ukulelenmoderne zu lesen. Besonders tragfähig ist die Verbindung von Selbstunterricht, Sherman, Clay &amp; Co., westamerikanischem Musikmarkt, Repertoirepolitik und Amateurpraxis. Diese Verbindung hebt Bailey aus der Rolle eines bloßen Namens auf einem Titelblatt heraus.</w:t>
      </w:r>
    </w:p>
    <w:p>
      <w:pPr>
        <w:spacing w:after="120" w:line="276" w:lineRule="auto"/>
        <w:ind w:firstLine="283"/>
      </w:pPr>
      <w:r>
        <w:rPr>
          <w:rFonts w:ascii="Times New Roman" w:hAnsi="Times New Roman"/>
          <w:b w:val="0"/>
          <w:i w:val="0"/>
          <w:sz w:val="23"/>
        </w:rPr>
        <w:t>Der entscheidende Schwachpunkt der Ausgangsfassung lag nicht in der These, sondern in ihrer Ausführung. Mehrere Kernabsätze wurden in nahezu identischer Form durch fast alle Kapitel gezogen. Das schwächte den Text, weil die These wiederholt, aber nicht weiterentwickelt wurde. Eine Monografie braucht keine vielfache Bekräftigung derselben Sätze, sondern eine kumulative Argumentation: jedes Kapitel muss einen neuen Belegtyp, eine neue Funktion oder eine neue Schlussfolgerung hinzufügen.</w:t>
      </w:r>
    </w:p>
    <w:p>
      <w:pPr>
        <w:spacing w:after="120" w:line="276" w:lineRule="auto"/>
        <w:ind w:firstLine="283"/>
      </w:pPr>
      <w:r>
        <w:rPr>
          <w:rFonts w:ascii="Times New Roman" w:hAnsi="Times New Roman"/>
          <w:b w:val="0"/>
          <w:i w:val="0"/>
          <w:sz w:val="23"/>
        </w:rPr>
        <w:t>Inhaltlich ist Bailey stark genug, um deutlich formuliert zu werden. Die Methodenschrift von 1914 ist bibliografisch nachgewiesen; Google Books verzeichnet eine Ausgabe bei Sherman, Clay &amp; Company mit 38 Seiten und weist eine 20. Edition aus.</w:t>
      </w:r>
      <w:r>
        <w:rPr>
          <w:rFonts w:ascii="Times New Roman" w:hAnsi="Times New Roman"/>
          <w:sz w:val="19"/>
          <w:vertAlign w:val="superscript"/>
        </w:rPr>
        <w:t>1</w:t>
      </w:r>
      <w:r>
        <w:rPr>
          <w:rFonts w:ascii="Times New Roman" w:hAnsi="Times New Roman"/>
          <w:b w:val="0"/>
          <w:i w:val="0"/>
          <w:sz w:val="23"/>
        </w:rPr>
        <w:t xml:space="preserve"> Ukuleles.com führt frühe Bailey-Drucke und Varianten, darunter Sherman-Clay- und Plaza-Ausgaben sowie die späteren 1916er Titel.</w:t>
      </w:r>
      <w:r>
        <w:rPr>
          <w:rFonts w:ascii="Times New Roman" w:hAnsi="Times New Roman"/>
          <w:sz w:val="19"/>
          <w:vertAlign w:val="superscript"/>
        </w:rPr>
        <w:t>2</w:t>
      </w:r>
      <w:r>
        <w:rPr>
          <w:rFonts w:ascii="Times New Roman" w:hAnsi="Times New Roman"/>
          <w:b w:val="0"/>
          <w:i w:val="0"/>
          <w:sz w:val="23"/>
        </w:rPr>
        <w:t xml:space="preserve"> Für Songs from Aloha Land ist ein Sherman-Clay-Druck von 1916 mit 94 Seiten belegt.</w:t>
      </w:r>
      <w:r>
        <w:rPr>
          <w:rFonts w:ascii="Times New Roman" w:hAnsi="Times New Roman"/>
          <w:sz w:val="19"/>
          <w:vertAlign w:val="superscript"/>
        </w:rPr>
        <w:t>3</w:t>
      </w:r>
      <w:r>
        <w:rPr>
          <w:rFonts w:ascii="Times New Roman" w:hAnsi="Times New Roman"/>
          <w:b w:val="0"/>
          <w:i w:val="0"/>
          <w:sz w:val="23"/>
        </w:rPr>
        <w:t xml:space="preserve"> Für The Ukulele as a Solo Instrument ist die Zusammenarbeit mit Keoki E. Awai und ein Umfang von 71 Seiten belegt.</w:t>
      </w:r>
      <w:r>
        <w:rPr>
          <w:rFonts w:ascii="Times New Roman" w:hAnsi="Times New Roman"/>
          <w:sz w:val="19"/>
          <w:vertAlign w:val="superscript"/>
        </w:rPr>
        <w:t>4</w:t>
      </w:r>
    </w:p>
    <w:p>
      <w:pPr>
        <w:spacing w:after="120" w:line="276" w:lineRule="auto"/>
        <w:ind w:firstLine="283"/>
      </w:pPr>
      <w:r>
        <w:rPr>
          <w:rFonts w:ascii="Times New Roman" w:hAnsi="Times New Roman"/>
          <w:b w:val="0"/>
          <w:i w:val="0"/>
          <w:sz w:val="23"/>
        </w:rPr>
        <w:t>Besonders wichtig ist der Marktindikator: Jim Tranquada nennt Bailey und Will D. Moyer als die zwei populärsten frühen Methoden von Mainland-Musikern; zugleich hält er fest, dass Sherman, Clay im Juni 1925 Verkaufszahlen von zwei Millionen Exemplaren für Baileys Methode beanspruchte.</w:t>
      </w:r>
      <w:r>
        <w:rPr>
          <w:rFonts w:ascii="Times New Roman" w:hAnsi="Times New Roman"/>
          <w:sz w:val="19"/>
          <w:vertAlign w:val="superscript"/>
        </w:rPr>
        <w:t>5</w:t>
      </w:r>
      <w:r>
        <w:rPr>
          <w:rFonts w:ascii="Times New Roman" w:hAnsi="Times New Roman"/>
          <w:b w:val="0"/>
          <w:i w:val="0"/>
          <w:sz w:val="23"/>
        </w:rPr>
        <w:t xml:space="preserve"> Diese Zahl ist als Werbeaussage zu behandeln, aber sie ist keine nebensächliche Reklamefloskel. Sie ist ein harter Quellenbefund zur Marktpositionierung der Methode und darf offensiv in die Argumentation eingebaut werden.</w:t>
      </w:r>
    </w:p>
    <w:p>
      <w:pPr>
        <w:pStyle w:val="Heading2"/>
        <w:keepNext/>
        <w:spacing w:before="180" w:after="120"/>
        <w:ind w:firstLine="0"/>
      </w:pPr>
      <w:r>
        <w:rPr>
          <w:rFonts w:ascii="Times New Roman" w:hAnsi="Times New Roman"/>
          <w:b/>
          <w:i w:val="0"/>
          <w:sz w:val="27"/>
        </w:rPr>
        <w:t>2. Überarbeitungsentscheidungen</w:t>
      </w:r>
    </w:p>
    <w:tbl>
      <w:tblPr>
        <w:tblStyle w:val="TableGrid"/>
        <w:tblW w:type="auto" w:w="0"/>
        <w:jc w:val="center"/>
        <w:tblLook w:firstColumn="1" w:firstRow="1" w:lastColumn="0" w:lastRow="0" w:noHBand="0" w:noVBand="1" w:val="04A0"/>
      </w:tblPr>
      <w:tblGrid>
        <w:gridCol w:w="4592"/>
        <w:gridCol w:w="4592"/>
      </w:tblGrid>
      <w:tr>
        <w:tc>
          <w:tcPr>
            <w:tcW w:type="dxa" w:w="4592"/>
            <w:vAlign w:val="top"/>
            <w:shd w:fill="D9EAF7"/>
          </w:tcPr>
          <w:p>
            <w:pPr>
              <w:spacing w:after="20" w:line="240" w:lineRule="auto"/>
            </w:pPr>
            <w:r/>
            <w:r>
              <w:rPr>
                <w:rFonts w:ascii="Times New Roman" w:hAnsi="Times New Roman"/>
                <w:b/>
                <w:sz w:val="18"/>
              </w:rPr>
              <w:t>Befund der Prüfung</w:t>
            </w:r>
          </w:p>
        </w:tc>
        <w:tc>
          <w:tcPr>
            <w:tcW w:type="dxa" w:w="4592"/>
            <w:vAlign w:val="top"/>
            <w:shd w:fill="D9EAF7"/>
          </w:tcPr>
          <w:p>
            <w:pPr>
              <w:spacing w:after="20" w:line="240" w:lineRule="auto"/>
            </w:pPr>
            <w:r/>
            <w:r>
              <w:rPr>
                <w:rFonts w:ascii="Times New Roman" w:hAnsi="Times New Roman"/>
                <w:b/>
                <w:sz w:val="18"/>
              </w:rPr>
              <w:t>Überarbeitung</w:t>
            </w:r>
          </w:p>
        </w:tc>
      </w:tr>
      <w:tr>
        <w:tc>
          <w:tcPr>
            <w:tcW w:type="dxa" w:w="4592"/>
            <w:vAlign w:val="top"/>
          </w:tcPr>
          <w:p>
            <w:pPr>
              <w:spacing w:after="20" w:line="240" w:lineRule="auto"/>
            </w:pPr>
            <w:r/>
            <w:r>
              <w:rPr>
                <w:rFonts w:ascii="Times New Roman" w:hAnsi="Times New Roman"/>
                <w:b w:val="0"/>
                <w:sz w:val="18"/>
              </w:rPr>
              <w:t>Die These war stark, aber zu oft nur wiederholt.</w:t>
            </w:r>
          </w:p>
        </w:tc>
        <w:tc>
          <w:tcPr>
            <w:tcW w:type="dxa" w:w="4592"/>
            <w:vAlign w:val="top"/>
          </w:tcPr>
          <w:p>
            <w:pPr>
              <w:spacing w:after="20" w:line="240" w:lineRule="auto"/>
            </w:pPr>
            <w:r/>
            <w:r>
              <w:rPr>
                <w:rFonts w:ascii="Times New Roman" w:hAnsi="Times New Roman"/>
                <w:b w:val="0"/>
                <w:sz w:val="18"/>
              </w:rPr>
              <w:t>Die Wiederholungen wurden entfernt und durch Kapitel mit eigenem Erkenntniswert ersetzt.</w:t>
            </w:r>
          </w:p>
        </w:tc>
      </w:tr>
      <w:tr>
        <w:tc>
          <w:tcPr>
            <w:tcW w:type="dxa" w:w="4592"/>
            <w:vAlign w:val="top"/>
          </w:tcPr>
          <w:p>
            <w:pPr>
              <w:spacing w:after="20" w:line="240" w:lineRule="auto"/>
            </w:pPr>
            <w:r/>
            <w:r>
              <w:rPr>
                <w:rFonts w:ascii="Times New Roman" w:hAnsi="Times New Roman"/>
                <w:b w:val="0"/>
                <w:sz w:val="18"/>
              </w:rPr>
              <w:t>Die Quellenarten waren nicht sauber genug unterschieden.</w:t>
            </w:r>
          </w:p>
        </w:tc>
        <w:tc>
          <w:tcPr>
            <w:tcW w:type="dxa" w:w="4592"/>
            <w:vAlign w:val="top"/>
          </w:tcPr>
          <w:p>
            <w:pPr>
              <w:spacing w:after="20" w:line="240" w:lineRule="auto"/>
            </w:pPr>
            <w:r/>
            <w:r>
              <w:rPr>
                <w:rFonts w:ascii="Times New Roman" w:hAnsi="Times New Roman"/>
                <w:b w:val="0"/>
                <w:sz w:val="18"/>
              </w:rPr>
              <w:t>Die neue Fassung trennt Primärdrucke, bibliografische Nachweise, Werbeaussagen, Sammlungsbefunde und kulturhistorische Deutung.</w:t>
            </w:r>
          </w:p>
        </w:tc>
      </w:tr>
      <w:tr>
        <w:tc>
          <w:tcPr>
            <w:tcW w:type="dxa" w:w="4592"/>
            <w:vAlign w:val="top"/>
          </w:tcPr>
          <w:p>
            <w:pPr>
              <w:spacing w:after="20" w:line="240" w:lineRule="auto"/>
            </w:pPr>
            <w:r/>
            <w:r>
              <w:rPr>
                <w:rFonts w:ascii="Times New Roman" w:hAnsi="Times New Roman"/>
                <w:b w:val="0"/>
                <w:sz w:val="18"/>
              </w:rPr>
              <w:t>Der Ton schwankte zwischen starker These und defensiver Quellenwarnung.</w:t>
            </w:r>
          </w:p>
        </w:tc>
        <w:tc>
          <w:tcPr>
            <w:tcW w:type="dxa" w:w="4592"/>
            <w:vAlign w:val="top"/>
          </w:tcPr>
          <w:p>
            <w:pPr>
              <w:spacing w:after="20" w:line="240" w:lineRule="auto"/>
            </w:pPr>
            <w:r/>
            <w:r>
              <w:rPr>
                <w:rFonts w:ascii="Times New Roman" w:hAnsi="Times New Roman"/>
                <w:b w:val="0"/>
                <w:sz w:val="18"/>
              </w:rPr>
              <w:t>Die neue Fassung argumentiert entschieden: Bailey wird als Systemautor und zentrale Vermittlungsfigur bezeichnet.</w:t>
            </w:r>
          </w:p>
        </w:tc>
      </w:tr>
      <w:tr>
        <w:tc>
          <w:tcPr>
            <w:tcW w:type="dxa" w:w="4592"/>
            <w:vAlign w:val="top"/>
          </w:tcPr>
          <w:p>
            <w:pPr>
              <w:spacing w:after="20" w:line="240" w:lineRule="auto"/>
            </w:pPr>
            <w:r/>
            <w:r>
              <w:rPr>
                <w:rFonts w:ascii="Times New Roman" w:hAnsi="Times New Roman"/>
                <w:b w:val="0"/>
                <w:sz w:val="18"/>
              </w:rPr>
              <w:t>Die 100-Seiten-Architektur war formal umfangreich, aber argumentativ aufgebläht.</w:t>
            </w:r>
          </w:p>
        </w:tc>
        <w:tc>
          <w:tcPr>
            <w:tcW w:type="dxa" w:w="4592"/>
            <w:vAlign w:val="top"/>
          </w:tcPr>
          <w:p>
            <w:pPr>
              <w:spacing w:after="20" w:line="240" w:lineRule="auto"/>
            </w:pPr>
            <w:r/>
            <w:r>
              <w:rPr>
                <w:rFonts w:ascii="Times New Roman" w:hAnsi="Times New Roman"/>
                <w:b w:val="0"/>
                <w:sz w:val="18"/>
              </w:rPr>
              <w:t>Die neue Fassung ist dichter. Umfang entsteht künftig durch Belege, Abbildungen, Tabellen und Einzelausgaben, nicht durch Textverdoppelung.</w:t>
            </w:r>
          </w:p>
        </w:tc>
      </w:tr>
      <w:tr>
        <w:tc>
          <w:tcPr>
            <w:tcW w:type="dxa" w:w="4592"/>
            <w:vAlign w:val="top"/>
          </w:tcPr>
          <w:p>
            <w:pPr>
              <w:spacing w:after="20" w:line="240" w:lineRule="auto"/>
            </w:pPr>
            <w:r/>
            <w:r>
              <w:rPr>
                <w:rFonts w:ascii="Times New Roman" w:hAnsi="Times New Roman"/>
                <w:b w:val="0"/>
                <w:sz w:val="18"/>
              </w:rPr>
              <w:t>Das Verhältnis zu hawaiianischen Musikern war noch zu pauschal.</w:t>
            </w:r>
          </w:p>
        </w:tc>
        <w:tc>
          <w:tcPr>
            <w:tcW w:type="dxa" w:w="4592"/>
            <w:vAlign w:val="top"/>
          </w:tcPr>
          <w:p>
            <w:pPr>
              <w:spacing w:after="20" w:line="240" w:lineRule="auto"/>
            </w:pPr>
            <w:r/>
            <w:r>
              <w:rPr>
                <w:rFonts w:ascii="Times New Roman" w:hAnsi="Times New Roman"/>
                <w:b w:val="0"/>
                <w:sz w:val="18"/>
              </w:rPr>
              <w:t>Die neue Fassung grenzt klar ab: Bailey war nicht Ursprung der Ukulele, sondern ein entscheidender Standardisierer ihrer Mainland-Gebrauchspraxis.</w:t>
            </w:r>
          </w:p>
        </w:tc>
      </w:tr>
      <w:tr>
        <w:tc>
          <w:tcPr>
            <w:tcW w:type="dxa" w:w="4592"/>
            <w:vAlign w:val="top"/>
          </w:tcPr>
          <w:p>
            <w:pPr>
              <w:spacing w:after="20" w:line="240" w:lineRule="auto"/>
            </w:pPr>
            <w:r/>
            <w:r>
              <w:rPr>
                <w:rFonts w:ascii="Times New Roman" w:hAnsi="Times New Roman"/>
                <w:b w:val="0"/>
                <w:sz w:val="18"/>
              </w:rPr>
              <w:t>Fischers Eigenleistung war angelegt, aber nicht hinreichend methodisch gefasst.</w:t>
            </w:r>
          </w:p>
        </w:tc>
        <w:tc>
          <w:tcPr>
            <w:tcW w:type="dxa" w:w="4592"/>
            <w:vAlign w:val="top"/>
          </w:tcPr>
          <w:p>
            <w:pPr>
              <w:spacing w:after="20" w:line="240" w:lineRule="auto"/>
            </w:pPr>
            <w:r/>
            <w:r>
              <w:rPr>
                <w:rFonts w:ascii="Times New Roman" w:hAnsi="Times New Roman"/>
                <w:b w:val="0"/>
                <w:sz w:val="18"/>
              </w:rPr>
              <w:t>Die neue Fassung macht Fischers Beitrag als Verbindung von Sammlungsarbeit, Editionsvergleich, Biografik und Marktanalyse sichtbar.</w:t>
            </w:r>
          </w:p>
        </w:tc>
      </w:tr>
    </w:tbl>
    <w:p>
      <w:pPr>
        <w:pStyle w:val="Heading2"/>
        <w:keepNext/>
        <w:spacing w:before="180" w:after="120"/>
        <w:ind w:firstLine="0"/>
      </w:pPr>
      <w:r>
        <w:rPr>
          <w:rFonts w:ascii="Times New Roman" w:hAnsi="Times New Roman"/>
          <w:b/>
          <w:i w:val="0"/>
          <w:sz w:val="27"/>
        </w:rPr>
        <w:t>3. Präzisierte Endthese</w:t>
      </w:r>
    </w:p>
    <w:p>
      <w:pPr>
        <w:spacing w:after="120" w:line="276" w:lineRule="auto"/>
        <w:ind w:firstLine="283"/>
      </w:pPr>
      <w:r>
        <w:rPr>
          <w:rFonts w:ascii="Times New Roman" w:hAnsi="Times New Roman"/>
          <w:b w:val="0"/>
          <w:i w:val="0"/>
          <w:sz w:val="23"/>
        </w:rPr>
        <w:t>Die belastbare Endthese lautet: Nelson Burdette Bailey war eine der zentralen Vermittlungsfiguren der frühen amerikanischen Mainland-Ukulelenkultur. Seine Methode und die anschließenden Sherman-Clay-Publikationen übersetzten ein modisches, hawaiianisch aufgeladenes Instrument in ein reproduzierbares, massenfähiges Selbstlern- und Gebrauchssystem.</w:t>
      </w:r>
    </w:p>
    <w:p>
      <w:pPr>
        <w:spacing w:after="120" w:line="276" w:lineRule="auto"/>
        <w:ind w:firstLine="283"/>
      </w:pPr>
      <w:r>
        <w:rPr>
          <w:rFonts w:ascii="Times New Roman" w:hAnsi="Times New Roman"/>
          <w:b w:val="0"/>
          <w:i w:val="0"/>
          <w:sz w:val="23"/>
        </w:rPr>
        <w:t>Die stärkere, buchfähige Formulierung lautet: Bailey war ein Architekt kultureller Zugänglichkeit. Er machte die Ukulele nicht nur bekannt, sondern benutzbar; nicht nur modisch, sondern wiederholbar; nicht nur exotisch aufgeladen, sondern alltagstauglich. Genau darin liegt seine historische Größe.</w:t>
      </w:r>
    </w:p>
    <w:p>
      <w:r>
        <w:br w:type="page"/>
      </w:r>
    </w:p>
    <w:p>
      <w:pPr>
        <w:pStyle w:val="Heading1"/>
        <w:keepNext/>
        <w:spacing w:before="280" w:after="120"/>
        <w:ind w:firstLine="0"/>
      </w:pPr>
      <w:r>
        <w:rPr>
          <w:rFonts w:ascii="Times New Roman" w:hAnsi="Times New Roman"/>
          <w:b/>
          <w:i w:val="0"/>
          <w:sz w:val="32"/>
        </w:rPr>
        <w:t>II. Überarbeitete Monografie</w:t>
      </w:r>
    </w:p>
    <w:p>
      <w:pPr>
        <w:pStyle w:val="Heading2"/>
        <w:keepNext/>
        <w:spacing w:before="180" w:after="120"/>
        <w:ind w:firstLine="0"/>
      </w:pPr>
      <w:r>
        <w:rPr>
          <w:rFonts w:ascii="Times New Roman" w:hAnsi="Times New Roman"/>
          <w:b/>
          <w:i w:val="0"/>
          <w:sz w:val="27"/>
        </w:rPr>
        <w:t>1. Bailey als Problem der Musikgeschichtsschreibung</w:t>
      </w:r>
    </w:p>
    <w:p>
      <w:pPr>
        <w:spacing w:after="120" w:line="276" w:lineRule="auto"/>
        <w:ind w:firstLine="283"/>
      </w:pPr>
      <w:r>
        <w:rPr>
          <w:rFonts w:ascii="Times New Roman" w:hAnsi="Times New Roman"/>
          <w:b w:val="0"/>
          <w:i w:val="0"/>
          <w:sz w:val="23"/>
        </w:rPr>
        <w:t>Nelson Burdette Bailey ist ein typischer Fall jener Personen, ohne die eine populäre Musikkultur nicht funktionieren würde, die aber in der klassischen Erinnerungskultur leicht verschwinden. Musikgeschichte privilegiert Virtuosen, Stars, Instrumentenerfinder, Bühnenereignisse und große Firmen. Bailey gehört in eine andere Kategorie. Er war kein Mythos der Bühne, sondern ein Organisator von musikalischer Benutzbarkeit.</w:t>
      </w:r>
    </w:p>
    <w:p>
      <w:pPr>
        <w:spacing w:after="120" w:line="276" w:lineRule="auto"/>
        <w:ind w:firstLine="283"/>
      </w:pPr>
      <w:r>
        <w:rPr>
          <w:rFonts w:ascii="Times New Roman" w:hAnsi="Times New Roman"/>
          <w:b w:val="0"/>
          <w:i w:val="0"/>
          <w:sz w:val="23"/>
        </w:rPr>
        <w:t>Genau deshalb ist seine Neubewertung notwendig. Die frühe Ukulelenmoderne auf dem amerikanischen Festland entstand nicht allein durch hawaiianische Musiker, Ausstellungen, Tin Pan Alley oder Instrumentenhandel. Sie entstand auch durch Lehrhefte, Liedsammlungen, Selbstunterrichtsprogramme, Akkordtabellen, Imprints und wiederholte Druckauflagen. Bailey steht an dieser Schnittstelle. Er lieferte nicht nur musikalischen Inhalt, sondern ein Format, mit dem Laien handlungsfähig wurden.</w:t>
      </w:r>
    </w:p>
    <w:p>
      <w:pPr>
        <w:spacing w:after="120" w:line="276" w:lineRule="auto"/>
        <w:ind w:firstLine="283"/>
      </w:pPr>
      <w:r>
        <w:rPr>
          <w:rFonts w:ascii="Times New Roman" w:hAnsi="Times New Roman"/>
          <w:b w:val="0"/>
          <w:i w:val="0"/>
          <w:sz w:val="23"/>
        </w:rPr>
        <w:t>Die zentrale Frage lautet daher nicht: War Bailey ein berühmter Virtuose? Die richtige Frage lautet: Welche Funktion erfüllten seine Publikationen im entstehenden Markt der Ukulele? Sobald man so fragt, verschiebt sich das Bild deutlich. Bailey erscheint nicht mehr als Randname, sondern als einer derjenigen Akteure, die aus einem begehrten Instrument eine praktisch spielbare Freizeitkultur machten.</w:t>
      </w:r>
    </w:p>
    <w:p>
      <w:pPr>
        <w:spacing w:after="120" w:line="276" w:lineRule="auto"/>
        <w:ind w:firstLine="283"/>
      </w:pPr>
      <w:r>
        <w:rPr>
          <w:rFonts w:ascii="Times New Roman" w:hAnsi="Times New Roman"/>
          <w:b w:val="0"/>
          <w:i w:val="0"/>
          <w:sz w:val="23"/>
        </w:rPr>
        <w:t>Die hier vertretene These ist deshalb ausdrücklich funktional: Baileys Bedeutung liegt in der systematischen Herstellung musikalischer Zugänglichkeit. Seine Veröffentlichungen verbanden Selbstunterricht, einfache Anwendung, Repertoire, fortgeschrittene Anschlussliteratur und die Vertriebsautorität von Sherman, Clay &amp; Co. Das machte ihn zu einer Infrastrukturfigur der Ukulelenkultur.</w:t>
      </w:r>
    </w:p>
    <w:p>
      <w:pPr>
        <w:pStyle w:val="Heading2"/>
        <w:keepNext/>
        <w:spacing w:before="180" w:after="120"/>
        <w:ind w:firstLine="0"/>
      </w:pPr>
      <w:r>
        <w:rPr>
          <w:rFonts w:ascii="Times New Roman" w:hAnsi="Times New Roman"/>
          <w:b/>
          <w:i w:val="0"/>
          <w:sz w:val="27"/>
        </w:rPr>
        <w:t>2. Quellenlage und Belegkategorien</w:t>
      </w:r>
    </w:p>
    <w:p>
      <w:pPr>
        <w:spacing w:after="120" w:line="276" w:lineRule="auto"/>
        <w:ind w:firstLine="283"/>
      </w:pPr>
      <w:r>
        <w:rPr>
          <w:rFonts w:ascii="Times New Roman" w:hAnsi="Times New Roman"/>
          <w:b w:val="0"/>
          <w:i w:val="0"/>
          <w:sz w:val="23"/>
        </w:rPr>
        <w:t>Eine überzeugende Bailey-Monografie muss die Quellen nicht nur sammeln, sondern nach ihrer Funktion ordnen. An erster Stelle stehen die Primärdrucke: A Practical Method for Self-Instruction on the Ukulele, Songs from Aloha Land und The Ukulele as a Solo Instrument. Diese Drucke sind nicht bloß bibliografische Objekte. Sie sind Gebrauchswerkzeuge. Ihr Format, Umfang, Titel, Imprint, didaktischer Aufbau und Repertoirezuschnitt sind historische Informationen.</w:t>
      </w:r>
    </w:p>
    <w:p>
      <w:pPr>
        <w:spacing w:after="120" w:line="276" w:lineRule="auto"/>
        <w:ind w:firstLine="283"/>
      </w:pPr>
      <w:r>
        <w:rPr>
          <w:rFonts w:ascii="Times New Roman" w:hAnsi="Times New Roman"/>
          <w:b w:val="0"/>
          <w:i w:val="0"/>
          <w:sz w:val="23"/>
        </w:rPr>
        <w:t>An zweiter Stelle stehen bibliografische und sammlungsgeschichtliche Nachweise. Google Books dokumentiert die Practical Method als Sherman-Clay-Ausgabe von 1914 mit 38 Seiten und einer 20. Edition.</w:t>
      </w:r>
      <w:r>
        <w:rPr>
          <w:rFonts w:ascii="Times New Roman" w:hAnsi="Times New Roman"/>
          <w:sz w:val="19"/>
          <w:vertAlign w:val="superscript"/>
        </w:rPr>
        <w:t>1</w:t>
      </w:r>
      <w:r>
        <w:rPr>
          <w:rFonts w:ascii="Times New Roman" w:hAnsi="Times New Roman"/>
          <w:b w:val="0"/>
          <w:i w:val="0"/>
          <w:sz w:val="23"/>
        </w:rPr>
        <w:t xml:space="preserve"> Ukuleles.com verzeichnet mehrere Bailey-Titel und Ausgaben, darunter die Sherman-Clay-Methode, eine Plaza-Ausgabe, Songs from Aloha Land und das Solo-Instrument-Projekt.</w:t>
      </w:r>
      <w:r>
        <w:rPr>
          <w:rFonts w:ascii="Times New Roman" w:hAnsi="Times New Roman"/>
          <w:sz w:val="19"/>
          <w:vertAlign w:val="superscript"/>
        </w:rPr>
        <w:t>2</w:t>
      </w:r>
      <w:r>
        <w:rPr>
          <w:rFonts w:ascii="Times New Roman" w:hAnsi="Times New Roman"/>
          <w:b w:val="0"/>
          <w:i w:val="0"/>
          <w:sz w:val="23"/>
        </w:rPr>
        <w:t xml:space="preserve"> Diese Nachweise zeigen, dass Bailey nicht nur einmal publizierte, sondern in einem wiedererkennbaren Publikationsfeld präsent war.</w:t>
      </w:r>
    </w:p>
    <w:p>
      <w:pPr>
        <w:spacing w:after="120" w:line="276" w:lineRule="auto"/>
        <w:ind w:firstLine="283"/>
      </w:pPr>
      <w:r>
        <w:rPr>
          <w:rFonts w:ascii="Times New Roman" w:hAnsi="Times New Roman"/>
          <w:b w:val="0"/>
          <w:i w:val="0"/>
          <w:sz w:val="23"/>
        </w:rPr>
        <w:t>An dritter Stelle stehen Marktindikatoren. Dazu gehören Auflagenangaben, Imprints, Anzeigen und Werbeaussagen. Die Aussage von Sherman, Clay, bis Juni 1925 seien zwei Millionen Exemplare von Baileys Methode verkauft worden, ist als Werbeaussage keine geprüfte Verlagsbuchzahl. Aber sie ist gleichwohl ein hochrangiger Quellenbefund: Ein Verlag behauptete öffentlich eine außerordentliche Marktreichweite und positionierte Bailey damit als Massentitel.</w:t>
      </w:r>
      <w:r>
        <w:rPr>
          <w:rFonts w:ascii="Times New Roman" w:hAnsi="Times New Roman"/>
          <w:sz w:val="19"/>
          <w:vertAlign w:val="superscript"/>
        </w:rPr>
        <w:t>5</w:t>
      </w:r>
    </w:p>
    <w:p>
      <w:pPr>
        <w:spacing w:after="120" w:line="276" w:lineRule="auto"/>
        <w:ind w:firstLine="283"/>
      </w:pPr>
      <w:r>
        <w:rPr>
          <w:rFonts w:ascii="Times New Roman" w:hAnsi="Times New Roman"/>
          <w:b w:val="0"/>
          <w:i w:val="0"/>
          <w:sz w:val="23"/>
        </w:rPr>
        <w:t>An vierter Stelle stehen Fischers eigene Sammlungs- und Editionsbefunde. Die 51. Auflage im Besitz Fischers, die Rekonstruktion von Imprintfolgen und die Verbindung mit Anzeigen- und Katalogspuren sind nicht Beiwerk. Sie sind der materielle Kern einer neuen Bailey-Forschung. Erst durch diese serielle Perspektive wird sichtbar, dass Bailey nicht über einzelne Titel, sondern über Zirkulation, Wiederauflage und Gebrauchsgeschichte zu verstehen ist.</w:t>
      </w:r>
    </w:p>
    <w:p>
      <w:pPr>
        <w:pStyle w:val="Heading2"/>
        <w:keepNext/>
        <w:spacing w:before="180" w:after="120"/>
        <w:ind w:firstLine="0"/>
      </w:pPr>
      <w:r>
        <w:rPr>
          <w:rFonts w:ascii="Times New Roman" w:hAnsi="Times New Roman"/>
          <w:b/>
          <w:i w:val="0"/>
          <w:sz w:val="27"/>
        </w:rPr>
        <w:t>3. Bailey als historischer Akteur und bibliografische Signatur</w:t>
      </w:r>
    </w:p>
    <w:p>
      <w:pPr>
        <w:spacing w:after="120" w:line="276" w:lineRule="auto"/>
        <w:ind w:firstLine="283"/>
      </w:pPr>
      <w:r>
        <w:rPr>
          <w:rFonts w:ascii="Times New Roman" w:hAnsi="Times New Roman"/>
          <w:b w:val="0"/>
          <w:i w:val="0"/>
          <w:sz w:val="23"/>
        </w:rPr>
        <w:t>Bailey muss doppelt gelesen werden: als historische Person und als bibliografische Signatur. Als Person ist er über genealogische, stadtgeschichtliche, berufsbezogene und publizistische Spuren fassbar. Als Signatur erscheint er auf Druckwerken, die im Musikmarkt zirkulierten. Diese doppelte Lesart ist entscheidend, weil populäre Gebrauchskultur häufig nicht über geschlossene Nachlässe überliefert ist, sondern über verstreute Drucke, Register, Anzeigen und erhaltene Exemplare.</w:t>
      </w:r>
    </w:p>
    <w:p>
      <w:pPr>
        <w:spacing w:after="120" w:line="276" w:lineRule="auto"/>
        <w:ind w:firstLine="283"/>
      </w:pPr>
      <w:r>
        <w:rPr>
          <w:rFonts w:ascii="Times New Roman" w:hAnsi="Times New Roman"/>
          <w:b w:val="0"/>
          <w:i w:val="0"/>
          <w:sz w:val="23"/>
        </w:rPr>
        <w:t>Die alte Unsicherheit über Bailey zeigt weniger seine historische Schwäche als die Archivproblematik populärer Musikpädagogik. Wer Lehrhefte für Anfänger schreibt, hinterlässt nicht automatisch große Autobiografien, Konzertkritiken oder institutionelle Nachlässe. Seine Wirkung liegt in Händen, Taschen, Musikgeschäften, Unterrichtszimmern und Wohnzimmern. Gerade deshalb ist eine quellennahe Rekonstruktion notwendig.</w:t>
      </w:r>
    </w:p>
    <w:p>
      <w:pPr>
        <w:spacing w:after="120" w:line="276" w:lineRule="auto"/>
        <w:ind w:firstLine="283"/>
      </w:pPr>
      <w:r>
        <w:rPr>
          <w:rFonts w:ascii="Times New Roman" w:hAnsi="Times New Roman"/>
          <w:b w:val="0"/>
          <w:i w:val="0"/>
          <w:sz w:val="23"/>
        </w:rPr>
        <w:t>In dieser Perspektive wird Bailey aus dem Schatten geholt. Er war nicht bloß „N. B. Bailey“ auf einem Cover, sondern ein Akteur innerhalb eines Musikhaussystems, das Instrumente, Druckwerke, Repertoire und Selbstunterricht zusammenführte. Seine Identität als Arrangeur, Lehrbuchautor und Vermittler ist für die Geschichte der Ukulele deshalb stärker zu gewichten, als es die ältere Literatur bislang getan hat.</w:t>
      </w:r>
    </w:p>
    <w:p>
      <w:pPr>
        <w:pStyle w:val="Heading2"/>
        <w:keepNext/>
        <w:spacing w:before="180" w:after="120"/>
        <w:ind w:firstLine="0"/>
      </w:pPr>
      <w:r>
        <w:rPr>
          <w:rFonts w:ascii="Times New Roman" w:hAnsi="Times New Roman"/>
          <w:b/>
          <w:i w:val="0"/>
          <w:sz w:val="27"/>
        </w:rPr>
        <w:t>4. Sherman, Clay &amp; Co. als Infrastruktur</w:t>
      </w:r>
    </w:p>
    <w:p>
      <w:pPr>
        <w:spacing w:after="120" w:line="276" w:lineRule="auto"/>
        <w:ind w:firstLine="283"/>
      </w:pPr>
      <w:r>
        <w:rPr>
          <w:rFonts w:ascii="Times New Roman" w:hAnsi="Times New Roman"/>
          <w:b w:val="0"/>
          <w:i w:val="0"/>
          <w:sz w:val="23"/>
        </w:rPr>
        <w:t>Sherman, Clay &amp; Co. war für Bailey nicht nur ein Verlagssignet, sondern der entscheidende institutionelle Verstärker. Das Unternehmen verband Instrumentenhandel, Notendruck, Musikpädagogik, Verkaufskultur und regionale Autorität. In einem solchen Umfeld konnten Lehrwerke nicht isoliert wirken. Sie wurden Teil einer Kette: Instrument kaufen, Methode erwerben, erste Lieder spielen, weiteres Repertoire nachkaufen, fortgeschrittene Literatur nutzen.</w:t>
      </w:r>
    </w:p>
    <w:p>
      <w:pPr>
        <w:spacing w:after="120" w:line="276" w:lineRule="auto"/>
        <w:ind w:firstLine="283"/>
      </w:pPr>
      <w:r>
        <w:rPr>
          <w:rFonts w:ascii="Times New Roman" w:hAnsi="Times New Roman"/>
          <w:b w:val="0"/>
          <w:i w:val="0"/>
          <w:sz w:val="23"/>
        </w:rPr>
        <w:t>Diese Kette ist der eigentliche infrastrukturelle Zusammenhang. Eine Ukulele im Schaufenster erzeugt noch keine Musikkultur. Erst wenn ein Käufer sofort ein Heft erhält, das ihm Akkorde, Anschlag, Liedbegleitung und Erfolgserlebnis vermittelt, wird aus einem Objekt eine Praxis. Bailey lieferte genau diese Gebrauchsanweisung. Sherman, Clay &amp; Co. lieferte die institutionelle Reichweite und Glaubwürdigkeit.</w:t>
      </w:r>
    </w:p>
    <w:p>
      <w:pPr>
        <w:spacing w:after="120" w:line="276" w:lineRule="auto"/>
        <w:ind w:firstLine="283"/>
      </w:pPr>
      <w:r>
        <w:rPr>
          <w:rFonts w:ascii="Times New Roman" w:hAnsi="Times New Roman"/>
          <w:b w:val="0"/>
          <w:i w:val="0"/>
          <w:sz w:val="23"/>
        </w:rPr>
        <w:t>Damit ist die Rolle des Verlags nicht nebensächlich. Ohne Sherman, Clay wäre Bailey wahrscheinlich ein kleinerer Autor geblieben. Ohne Bailey hätte Sherman, Clay zwar Instrumente und Musik angeboten, aber nicht in derselben Weise ein wiederverwendbares Selbstlernformat besessen. Die Stärke liegt im Zusammenspiel: Bailey als didaktischer Formatgeber, Sherman, Clay als musikalisch-kommerzieller Verstärker.</w:t>
      </w:r>
    </w:p>
    <w:p>
      <w:pPr>
        <w:pStyle w:val="Heading2"/>
        <w:keepNext/>
        <w:spacing w:before="180" w:after="120"/>
        <w:ind w:firstLine="0"/>
      </w:pPr>
      <w:r>
        <w:rPr>
          <w:rFonts w:ascii="Times New Roman" w:hAnsi="Times New Roman"/>
          <w:b/>
          <w:i w:val="0"/>
          <w:sz w:val="27"/>
        </w:rPr>
        <w:t>5. San Francisco, PPIE und die Westküstenperspektive</w:t>
      </w:r>
    </w:p>
    <w:p>
      <w:pPr>
        <w:spacing w:after="120" w:line="276" w:lineRule="auto"/>
        <w:ind w:firstLine="283"/>
      </w:pPr>
      <w:r>
        <w:rPr>
          <w:rFonts w:ascii="Times New Roman" w:hAnsi="Times New Roman"/>
          <w:b w:val="0"/>
          <w:i w:val="0"/>
          <w:sz w:val="23"/>
        </w:rPr>
        <w:t>San Francisco war für die frühe Ukulelenkultur kein Nebenschauplatz. Die Stadt verband Pazifikhandel, Hawaii-Bezüge, Musikhandel und 1915 die Panama-Pacific International Exposition. Die Ausstellung machte hawaiianische Musik in einer besonderen historischen Verdichtung sichtbar. Ukulele Magazine hebt hervor, dass Musik für die PPIE zentral war und dass Philip T. Clay von Sherman, Clay &amp; Co. im Leitungskontext der Ausstellung stand; die musikalische Programmierung war groß dimensioniert und auf breite Publikumswirkung angelegt.</w:t>
      </w:r>
      <w:r>
        <w:rPr>
          <w:rFonts w:ascii="Times New Roman" w:hAnsi="Times New Roman"/>
          <w:sz w:val="19"/>
          <w:vertAlign w:val="superscript"/>
        </w:rPr>
        <w:t>6</w:t>
      </w:r>
    </w:p>
    <w:p>
      <w:pPr>
        <w:spacing w:after="120" w:line="276" w:lineRule="auto"/>
        <w:ind w:firstLine="283"/>
      </w:pPr>
      <w:r>
        <w:rPr>
          <w:rFonts w:ascii="Times New Roman" w:hAnsi="Times New Roman"/>
          <w:b w:val="0"/>
          <w:i w:val="0"/>
          <w:sz w:val="23"/>
        </w:rPr>
        <w:t>Gerade deshalb ist Baileys San-Francisco-Kontext so wichtig. Der Ukuleleboom auf dem amerikanischen Festland wird häufig aus New York, Tin Pan Alley oder aus einer allgemeinen Hawaii-Mode heraus erzählt. Das ist unvollständig. Die Westküste, insbesondere San Francisco, war nicht nur Empfänger, sondern Übersetzungsraum: Hier wurde hawaiianisch aufgeladene Musik in kaufbare, lernbare und druckförmig reproduzierbare Formate überführt.</w:t>
      </w:r>
    </w:p>
    <w:p>
      <w:pPr>
        <w:spacing w:after="120" w:line="276" w:lineRule="auto"/>
        <w:ind w:firstLine="283"/>
      </w:pPr>
      <w:r>
        <w:rPr>
          <w:rFonts w:ascii="Times New Roman" w:hAnsi="Times New Roman"/>
          <w:b w:val="0"/>
          <w:i w:val="0"/>
          <w:sz w:val="23"/>
        </w:rPr>
        <w:t>Bailey steht mitten in dieser Westküstenperspektive. Seine 1914er Methode erscheint kurz vor dem PPIE-Kulminationsjahr. Songs from Aloha Land und The Ukulele as a Solo Instrument folgen 1916, also in unmittelbarer Nachwirkung der Ausstellung. Diese zeitliche Nähe beweist nicht allein Ursache und Wirkung, aber sie zeigt eine starke kulturelle Synchronität: Bailey publizierte genau in dem Moment, in dem die Ukulele für den Mainland-Markt maximal anschlussfähig wurde.</w:t>
      </w:r>
    </w:p>
    <w:p>
      <w:pPr>
        <w:pStyle w:val="Heading2"/>
        <w:keepNext/>
        <w:spacing w:before="180" w:after="120"/>
        <w:ind w:firstLine="0"/>
      </w:pPr>
      <w:r>
        <w:rPr>
          <w:rFonts w:ascii="Times New Roman" w:hAnsi="Times New Roman"/>
          <w:b/>
          <w:i w:val="0"/>
          <w:sz w:val="27"/>
        </w:rPr>
        <w:t>6. Die Practical Method von 1914</w:t>
      </w:r>
    </w:p>
    <w:p>
      <w:pPr>
        <w:spacing w:after="120" w:line="276" w:lineRule="auto"/>
        <w:ind w:firstLine="283"/>
      </w:pPr>
      <w:r>
        <w:rPr>
          <w:rFonts w:ascii="Times New Roman" w:hAnsi="Times New Roman"/>
          <w:b w:val="0"/>
          <w:i w:val="0"/>
          <w:sz w:val="23"/>
        </w:rPr>
        <w:t>Die Practical Method ist der Kern des Bailey-Systems. Bereits der Titel ist programmatisch: Self-Instruction. Der Käufer sollte nicht darauf warten müssen, einen Lehrer zu finden. Er sollte mit einem Heft, einem Instrument und überschaubaren Anweisungen musikalisch handlungsfähig werden. Diese Verlagerung vom institutionellen Unterricht zum Selbstunterricht ist eine der wichtigsten Modernisierungsleistungen der frühen Ukulelenpädagogik.</w:t>
      </w:r>
    </w:p>
    <w:p>
      <w:pPr>
        <w:spacing w:after="120" w:line="276" w:lineRule="auto"/>
        <w:ind w:firstLine="283"/>
      </w:pPr>
      <w:r>
        <w:rPr>
          <w:rFonts w:ascii="Times New Roman" w:hAnsi="Times New Roman"/>
          <w:b w:val="0"/>
          <w:i w:val="0"/>
          <w:sz w:val="23"/>
        </w:rPr>
        <w:t>Google Books weist für A Practical Method for Self-Instruction on the Ukulele eine Sherman-Clay-Ausgabe von 1914 mit 38 Seiten und einer 20. Edition aus.</w:t>
      </w:r>
      <w:r>
        <w:rPr>
          <w:rFonts w:ascii="Times New Roman" w:hAnsi="Times New Roman"/>
          <w:sz w:val="19"/>
          <w:vertAlign w:val="superscript"/>
        </w:rPr>
        <w:t>1</w:t>
      </w:r>
      <w:r>
        <w:rPr>
          <w:rFonts w:ascii="Times New Roman" w:hAnsi="Times New Roman"/>
          <w:b w:val="0"/>
          <w:i w:val="0"/>
          <w:sz w:val="23"/>
        </w:rPr>
        <w:t xml:space="preserve"> Diese Daten sind in mehrfacher Hinsicht bedeutsam: Der Umfang ist klein genug für Gebrauch und Verkauf, groß genug für eine systematische Einführung. Die 20. Edition ist ein starker Hinweis auf Wiederauflage und Nachfrage. Die Veröffentlichung bei Sherman, Clay verankert die Methode im westamerikanischen Musikhandel.</w:t>
      </w:r>
    </w:p>
    <w:p>
      <w:pPr>
        <w:spacing w:after="120" w:line="276" w:lineRule="auto"/>
        <w:ind w:firstLine="283"/>
      </w:pPr>
      <w:r>
        <w:rPr>
          <w:rFonts w:ascii="Times New Roman" w:hAnsi="Times New Roman"/>
          <w:b w:val="0"/>
          <w:i w:val="0"/>
          <w:sz w:val="23"/>
        </w:rPr>
        <w:t>Die Methode richtete sich nicht an den Virtuosen, sondern an den sofort spielenden Amateur. Darin liegt keine Schwäche, sondern die eigentliche Stärke. Bailey reduzierte den Einstieg auf praktische Einheiten: Stimmung, Griffbilder, einfache Harmonien, Anschlagsformen und Liedanwendung. Damit erzeugte er frühe musikalische Selbstwirksamkeit: Der Lernende sollte sehr schnell erfahren, dass er Musik machen kann.</w:t>
      </w:r>
    </w:p>
    <w:p>
      <w:pPr>
        <w:spacing w:after="120" w:line="276" w:lineRule="auto"/>
        <w:ind w:firstLine="283"/>
      </w:pPr>
      <w:r>
        <w:rPr>
          <w:rFonts w:ascii="Times New Roman" w:hAnsi="Times New Roman"/>
          <w:b w:val="0"/>
          <w:i w:val="0"/>
          <w:sz w:val="23"/>
        </w:rPr>
        <w:t>Die Einbeziehung der Banjo-Ukulele erweitert den Befund. Bailey dachte nicht in einem engen puristischen Instrumentenbegriff, sondern in einem Markt populärer Kleinlauten. Das machte seine Methode kompatibel mit unterschiedlichen Instrumentenbeständen, Käuferschichten und Klangvorstellungen. Genau solche Kompatibilität ist eine Voraussetzung kultureller Skalierung.</w:t>
      </w:r>
    </w:p>
    <w:p>
      <w:pPr>
        <w:pStyle w:val="Heading2"/>
        <w:keepNext/>
        <w:spacing w:before="180" w:after="120"/>
        <w:ind w:firstLine="0"/>
      </w:pPr>
      <w:r>
        <w:rPr>
          <w:rFonts w:ascii="Times New Roman" w:hAnsi="Times New Roman"/>
          <w:b/>
          <w:i w:val="0"/>
          <w:sz w:val="27"/>
        </w:rPr>
        <w:t>7. Songs from Aloha Land als Repertoire-Scharnier</w:t>
      </w:r>
    </w:p>
    <w:p>
      <w:pPr>
        <w:spacing w:after="120" w:line="276" w:lineRule="auto"/>
        <w:ind w:firstLine="283"/>
      </w:pPr>
      <w:r>
        <w:rPr>
          <w:rFonts w:ascii="Times New Roman" w:hAnsi="Times New Roman"/>
          <w:b w:val="0"/>
          <w:i w:val="0"/>
          <w:sz w:val="23"/>
        </w:rPr>
        <w:t>Songs from Aloha Land erfüllt eine andere, aber ebenso zentrale Funktion. Eine Methode bringt Menschen zum Einstieg; ein Repertoireband hält sie in der Praxis. Wer die ersten Akkorde gelernt hatte, brauchte Material, das den Gebrauch fortsetzt. Bailey lieferte mit Songs from Aloha Land ein Scharnier zwischen Lernen, Singen, Begleiten und Hawaii-Imagination.</w:t>
      </w:r>
    </w:p>
    <w:p>
      <w:pPr>
        <w:spacing w:after="120" w:line="276" w:lineRule="auto"/>
        <w:ind w:firstLine="283"/>
      </w:pPr>
      <w:r>
        <w:rPr>
          <w:rFonts w:ascii="Times New Roman" w:hAnsi="Times New Roman"/>
          <w:b w:val="0"/>
          <w:i w:val="0"/>
          <w:sz w:val="23"/>
        </w:rPr>
        <w:t>Die University-of-Hawaii-Nachweise und weitere bibliografische Listen verzeichnen Songs from Aloha Land als Sherman-Clay-Druck von 1916 mit 94 Seiten Musik und englischen oder hawaiianischen Texten.</w:t>
      </w:r>
      <w:r>
        <w:rPr>
          <w:rFonts w:ascii="Times New Roman" w:hAnsi="Times New Roman"/>
          <w:sz w:val="19"/>
          <w:vertAlign w:val="superscript"/>
        </w:rPr>
        <w:t>3</w:t>
      </w:r>
      <w:r>
        <w:rPr>
          <w:rFonts w:ascii="Times New Roman" w:hAnsi="Times New Roman"/>
          <w:b w:val="0"/>
          <w:i w:val="0"/>
          <w:sz w:val="23"/>
        </w:rPr>
        <w:t xml:space="preserve"> Ukuleles.com führt denselben Titel als Sammlung hawaiianischer Lieder mit Ukulele-Begleitung.</w:t>
      </w:r>
      <w:r>
        <w:rPr>
          <w:rFonts w:ascii="Times New Roman" w:hAnsi="Times New Roman"/>
          <w:sz w:val="19"/>
          <w:vertAlign w:val="superscript"/>
        </w:rPr>
        <w:t>2</w:t>
      </w:r>
      <w:r>
        <w:rPr>
          <w:rFonts w:ascii="Times New Roman" w:hAnsi="Times New Roman"/>
          <w:b w:val="0"/>
          <w:i w:val="0"/>
          <w:sz w:val="23"/>
        </w:rPr>
        <w:t xml:space="preserve"> Damit ist die Funktion eindeutig: Es geht nicht nur um Instrumentaltechnik, sondern um Liedkultur.</w:t>
      </w:r>
    </w:p>
    <w:p>
      <w:pPr>
        <w:spacing w:after="120" w:line="276" w:lineRule="auto"/>
        <w:ind w:firstLine="283"/>
      </w:pPr>
      <w:r>
        <w:rPr>
          <w:rFonts w:ascii="Times New Roman" w:hAnsi="Times New Roman"/>
          <w:b w:val="0"/>
          <w:i w:val="0"/>
          <w:sz w:val="23"/>
        </w:rPr>
        <w:t>Baileys Angabe als Arrangeur ist hier besonders wichtig. Arrangement bedeutet Übersetzung. Das musikalische Material wurde so eingerichtet, dass es für eine amerikanische Amateurpraxis spielbar, singbar und sozial verwendbar wurde. Bailey stand damit nicht am Ursprung hawaiianischer Musik, aber er stand an einer entscheidenden Transferstelle: Er verwandelte Repertoire in ein Format, das im Mainland-Wohnzimmer und in geselligen Kontexten funktionieren konnte.</w:t>
      </w:r>
    </w:p>
    <w:p>
      <w:pPr>
        <w:spacing w:after="120" w:line="276" w:lineRule="auto"/>
        <w:ind w:firstLine="283"/>
      </w:pPr>
      <w:r>
        <w:rPr>
          <w:rFonts w:ascii="Times New Roman" w:hAnsi="Times New Roman"/>
          <w:b w:val="0"/>
          <w:i w:val="0"/>
          <w:sz w:val="23"/>
        </w:rPr>
        <w:t>Der Titel Aloha Land war emotional hoch wirksam. Er versprach nicht nur geografische Herkunft, sondern ein ganzes Vorstellungsfeld: Wärme, Ferne, Geselligkeit, Leichtigkeit, musikalische Direktheit. Bailey machte dieses Vorstellungsfeld druckförmig nutzbar. Das Hawaii-Imaginaire wurde nicht nur beworben, sondern in Akkorde, Liedtexte, Begleitung und wiederholbare soziale Praxis übersetzt.</w:t>
      </w:r>
    </w:p>
    <w:p>
      <w:pPr>
        <w:pStyle w:val="Heading2"/>
        <w:keepNext/>
        <w:spacing w:before="180" w:after="120"/>
        <w:ind w:firstLine="0"/>
      </w:pPr>
      <w:r>
        <w:rPr>
          <w:rFonts w:ascii="Times New Roman" w:hAnsi="Times New Roman"/>
          <w:b/>
          <w:i w:val="0"/>
          <w:sz w:val="27"/>
        </w:rPr>
        <w:t>8. The Ukulele as a Solo Instrument</w:t>
      </w:r>
    </w:p>
    <w:p>
      <w:pPr>
        <w:spacing w:after="120" w:line="276" w:lineRule="auto"/>
        <w:ind w:firstLine="283"/>
      </w:pPr>
      <w:r>
        <w:rPr>
          <w:rFonts w:ascii="Times New Roman" w:hAnsi="Times New Roman"/>
          <w:b w:val="0"/>
          <w:i w:val="0"/>
          <w:sz w:val="23"/>
        </w:rPr>
        <w:t>The Ukulele as a Solo Instrument erweitert das Bailey-System nach oben. Es zeigt die Ukulele nicht nur als Begleitinstrument, sondern als solistisch entwicklungsfähiges Instrument. Das ist für die historische Bewertung entscheidend, weil es eine didaktische Leiter sichtbar macht: Einstieg, Liedbegleitung, Repertoirebindung und fortgeschrittene Spielpraxis.</w:t>
      </w:r>
    </w:p>
    <w:p>
      <w:pPr>
        <w:spacing w:after="120" w:line="276" w:lineRule="auto"/>
        <w:ind w:firstLine="283"/>
      </w:pPr>
      <w:r>
        <w:rPr>
          <w:rFonts w:ascii="Times New Roman" w:hAnsi="Times New Roman"/>
          <w:b w:val="0"/>
          <w:i w:val="0"/>
          <w:sz w:val="23"/>
        </w:rPr>
        <w:t>Die bibliografischen Nachweise führen The Ukulele as a Solo Instrument als 1916 bei Sherman, Clay erschienene Sammlung mit Keoki E. Awai, 71 Seiten, Standardnotation, Akkorddiagrammen und italienischer Tabulatur; außerdem wird eine D-Stimmungsvariante verzeichnet.</w:t>
      </w:r>
      <w:r>
        <w:rPr>
          <w:rFonts w:ascii="Times New Roman" w:hAnsi="Times New Roman"/>
          <w:sz w:val="19"/>
          <w:vertAlign w:val="superscript"/>
        </w:rPr>
        <w:t>4</w:t>
      </w:r>
      <w:r>
        <w:rPr>
          <w:rFonts w:ascii="Times New Roman" w:hAnsi="Times New Roman"/>
          <w:b w:val="0"/>
          <w:i w:val="0"/>
          <w:sz w:val="23"/>
        </w:rPr>
        <w:t xml:space="preserve"> Damit war das Werk medientechnisch anspruchsvoller als eine bloße Akkordschule. Es verband Notation, Tabulatur, Griffdarstellung und Instruktion.</w:t>
      </w:r>
    </w:p>
    <w:p>
      <w:pPr>
        <w:spacing w:after="120" w:line="276" w:lineRule="auto"/>
        <w:ind w:firstLine="283"/>
      </w:pPr>
      <w:r>
        <w:rPr>
          <w:rFonts w:ascii="Times New Roman" w:hAnsi="Times New Roman"/>
          <w:b w:val="0"/>
          <w:i w:val="0"/>
          <w:sz w:val="23"/>
        </w:rPr>
        <w:t>Die Zusammenarbeit mit Awai ist nicht nebensächlich. Sie verankert das Projekt stärker in der hawaiianischen Musikerpraxis und zugleich in der Sherman-Clay-Logik des Mainland-Marktes. Bailey erscheint hier nicht isoliert, sondern als Teil eines Vermittlungsnetzwerks. Seine Rolle besteht darin, zwischen musikalischer Herkunft, drucktechnischer Form und Amateurverwendung zu vermitteln.</w:t>
      </w:r>
    </w:p>
    <w:p>
      <w:pPr>
        <w:spacing w:after="120" w:line="276" w:lineRule="auto"/>
        <w:ind w:firstLine="283"/>
      </w:pPr>
      <w:r>
        <w:rPr>
          <w:rFonts w:ascii="Times New Roman" w:hAnsi="Times New Roman"/>
          <w:b w:val="0"/>
          <w:i w:val="0"/>
          <w:sz w:val="23"/>
        </w:rPr>
        <w:t>Gerade das Solo-Instrument-Projekt verhindert eine zu enge Lesart Baileys als bloßen Anfängerautor. Bailey gehört nicht nur zur Pädagogik der ersten drei Akkorde. Sein Umfeld bot eine Progression. Die Ukulele sollte nicht nach dem ersten Erfolg wieder verschwinden; sie sollte weiter bespielt, erweitert und in eine ernsthaftere Praxis überführt werden.</w:t>
      </w:r>
    </w:p>
    <w:p>
      <w:pPr>
        <w:pStyle w:val="Heading2"/>
        <w:keepNext/>
        <w:spacing w:before="180" w:after="120"/>
        <w:ind w:firstLine="0"/>
      </w:pPr>
      <w:r>
        <w:rPr>
          <w:rFonts w:ascii="Times New Roman" w:hAnsi="Times New Roman"/>
          <w:b/>
          <w:i w:val="0"/>
          <w:sz w:val="27"/>
        </w:rPr>
        <w:t>9. Auflagen, Imprints und Marktbehauptung</w:t>
      </w:r>
    </w:p>
    <w:p>
      <w:pPr>
        <w:spacing w:after="120" w:line="276" w:lineRule="auto"/>
        <w:ind w:firstLine="283"/>
      </w:pPr>
      <w:r>
        <w:rPr>
          <w:rFonts w:ascii="Times New Roman" w:hAnsi="Times New Roman"/>
          <w:b w:val="0"/>
          <w:i w:val="0"/>
          <w:sz w:val="23"/>
        </w:rPr>
        <w:t>Der stärkste Angriffspunkt gegen eine große Bailey-These wäre die Frage der Reichweite. Genau hier ist der Befund aber nicht schwach, sondern auffallend stark. Es gibt eine Sherman-Clay-Methode von 1914; eine 20. Edition ist bibliografisch sichtbar; Ukuleles.com führt eine Plaza-Ausgabe und mehrere Bailey-Titel; Fischers Sammlung verweist auf eine 51. Auflage; und Tranquada hält die Sherman-Clay-Behauptung von zwei Millionen verkauften Exemplaren bis Juni 1925 fest.</w:t>
      </w:r>
      <w:r>
        <w:rPr>
          <w:rFonts w:ascii="Times New Roman" w:hAnsi="Times New Roman"/>
          <w:sz w:val="19"/>
          <w:vertAlign w:val="superscript"/>
        </w:rPr>
        <w:t>1</w:t>
      </w:r>
      <w:r>
        <w:rPr>
          <w:rFonts w:ascii="Times New Roman" w:hAnsi="Times New Roman"/>
          <w:sz w:val="19"/>
          <w:vertAlign w:val="superscript"/>
        </w:rPr>
        <w:t>2</w:t>
      </w:r>
      <w:r>
        <w:rPr>
          <w:rFonts w:ascii="Times New Roman" w:hAnsi="Times New Roman"/>
          <w:sz w:val="19"/>
          <w:vertAlign w:val="superscript"/>
        </w:rPr>
        <w:t>5</w:t>
      </w:r>
    </w:p>
    <w:p>
      <w:pPr>
        <w:spacing w:after="120" w:line="276" w:lineRule="auto"/>
        <w:ind w:firstLine="283"/>
      </w:pPr>
      <w:r>
        <w:rPr>
          <w:rFonts w:ascii="Times New Roman" w:hAnsi="Times New Roman"/>
          <w:b w:val="0"/>
          <w:i w:val="0"/>
          <w:sz w:val="23"/>
        </w:rPr>
        <w:t>Man muss diese Daten nicht defensiv kleinreden. Die exakte, buchhalterisch geprüfte Verkaufszahl ist ohne erhaltene Verlagsbücher nicht gesichert. Aber die Kombination der Indikatoren ist stark: viele Ausgaben, verschiedene Imprints, hoher Werbeanspruch, lange Präsenz und Einordnung unter die populärsten frühen Mainland-Methoden. Das reicht für eine deutliche historische Aussage: Baileys Methode war kein Randprodukt, sondern ein Leitmedium der frühen Ukulelenvermittlung.</w:t>
      </w:r>
    </w:p>
    <w:p>
      <w:pPr>
        <w:spacing w:after="120" w:line="276" w:lineRule="auto"/>
        <w:ind w:firstLine="283"/>
      </w:pPr>
      <w:r>
        <w:rPr>
          <w:rFonts w:ascii="Times New Roman" w:hAnsi="Times New Roman"/>
          <w:b w:val="0"/>
          <w:i w:val="0"/>
          <w:sz w:val="23"/>
        </w:rPr>
        <w:t>Die 2-Millionen-Aussage ist dabei besonders wertvoll, auch wenn sie als Werbung formuliert wurde. Werbung ist in der Marktgeschichte keine minderwertige Quelle. Sie zeigt, wie ein Verlag einen Titel positionierte, welches Gewicht er ihm beimaß und welche Reichweite öffentlich behauptet wurde. Ein Verlag behauptet nicht beiläufig zwei Millionen Exemplare, wenn ein Titel im eigenen Programm unbedeutend ist.</w:t>
      </w:r>
    </w:p>
    <w:p>
      <w:pPr>
        <w:spacing w:after="120" w:line="276" w:lineRule="auto"/>
        <w:ind w:firstLine="283"/>
      </w:pPr>
      <w:r>
        <w:rPr>
          <w:rFonts w:ascii="Times New Roman" w:hAnsi="Times New Roman"/>
          <w:b w:val="0"/>
          <w:i w:val="0"/>
          <w:sz w:val="23"/>
        </w:rPr>
        <w:t>Für die Druckfassung sollte daher selbstbewusst formuliert werden: Baileys Practical Method gehört nach gegenwärtigem Quellenstand zu den am stärksten nachweisbaren und am aggressivsten marktpositionierten frühen Ukulelenmethoden des amerikanischen Festlands. Die These einer führenden Methode ist nicht überzogen; sie ist die angemessene Interpretation der kumulierten Belege.</w:t>
      </w:r>
    </w:p>
    <w:p>
      <w:pPr>
        <w:pStyle w:val="Heading2"/>
        <w:keepNext/>
        <w:spacing w:before="180" w:after="120"/>
        <w:ind w:firstLine="0"/>
      </w:pPr>
      <w:r>
        <w:rPr>
          <w:rFonts w:ascii="Times New Roman" w:hAnsi="Times New Roman"/>
          <w:b/>
          <w:i w:val="0"/>
          <w:sz w:val="27"/>
        </w:rPr>
        <w:t>10. Kulturelle Skalierung und musikalische Selbstwirksamkeit</w:t>
      </w:r>
    </w:p>
    <w:p>
      <w:pPr>
        <w:spacing w:after="120" w:line="276" w:lineRule="auto"/>
        <w:ind w:firstLine="283"/>
      </w:pPr>
      <w:r>
        <w:rPr>
          <w:rFonts w:ascii="Times New Roman" w:hAnsi="Times New Roman"/>
          <w:b w:val="0"/>
          <w:i w:val="0"/>
          <w:sz w:val="23"/>
        </w:rPr>
        <w:t>Der Begriff der kulturellen Skalierung beschreibt Baileys Leistung präzise. Er skalierte nicht einfach Noten. Er skalierte Handlungsmöglichkeiten. Seine Drucke machten es möglich, dass viele Menschen denselben Grundprozess durchliefen: ein Instrument kaufen, stimmen, erste Griffe lernen, ein Lied begleiten, mit anderen singen, weiteres Repertoire nutzen und gegebenenfalls in solistischere Literatur wechseln.</w:t>
      </w:r>
    </w:p>
    <w:p>
      <w:pPr>
        <w:spacing w:after="120" w:line="276" w:lineRule="auto"/>
        <w:ind w:firstLine="283"/>
      </w:pPr>
      <w:r>
        <w:rPr>
          <w:rFonts w:ascii="Times New Roman" w:hAnsi="Times New Roman"/>
          <w:b w:val="0"/>
          <w:i w:val="0"/>
          <w:sz w:val="23"/>
        </w:rPr>
        <w:t>Diese Skalierung funktionierte über Vereinfachung. Vereinfachung ist hier keine Verflachung, sondern eine Kulturtechnik. Sie reduziert Einstiegshürden, schafft frühe Erfolgserlebnisse und macht musikalische Praxis sozial anschlussfähig. Genau darin liegt die Popularität der Ukulele: Sie versprach nicht erst nach jahrelangem Unterricht ein Ergebnis, sondern sofortige Teilhabe.</w:t>
      </w:r>
    </w:p>
    <w:p>
      <w:pPr>
        <w:spacing w:after="120" w:line="276" w:lineRule="auto"/>
        <w:ind w:firstLine="283"/>
      </w:pPr>
      <w:r>
        <w:rPr>
          <w:rFonts w:ascii="Times New Roman" w:hAnsi="Times New Roman"/>
          <w:b w:val="0"/>
          <w:i w:val="0"/>
          <w:sz w:val="23"/>
        </w:rPr>
        <w:t>Bailey war daher ein Produzent musikalischer Selbstwirksamkeit. Seine Nutzer sollten früh erfahren: Ich kann Musik machen. Dieses Gefühl ist historisch nicht trivial. Es verschiebt die Grenze zwischen Publikum und Ausführenden. Die Ukulele wurde dadurch zu einem Instrument demokratisierter Amateurpraxis.</w:t>
      </w:r>
    </w:p>
    <w:p>
      <w:pPr>
        <w:spacing w:after="120" w:line="276" w:lineRule="auto"/>
        <w:ind w:firstLine="283"/>
      </w:pPr>
      <w:r>
        <w:rPr>
          <w:rFonts w:ascii="Times New Roman" w:hAnsi="Times New Roman"/>
          <w:b w:val="0"/>
          <w:i w:val="0"/>
          <w:sz w:val="23"/>
        </w:rPr>
        <w:t>Baileys Beitrag reicht damit über die Ukulele hinaus. Er steht in einer längeren Geschichte populärer Musikpädagogik, die später in Gitarrenschulen, Folk-Songbooks, Lagerfeuerliedern und digitalen Tutorials weiterwirkt: einfacher Einstieg, Akkorde statt langwieriger Notenprofessionalisierung, Songorientierung, Wiederholbarkeit und sozialer Gebrauch.</w:t>
      </w:r>
    </w:p>
    <w:p>
      <w:pPr>
        <w:pStyle w:val="Heading2"/>
        <w:keepNext/>
        <w:spacing w:before="180" w:after="120"/>
        <w:ind w:firstLine="0"/>
      </w:pPr>
      <w:r>
        <w:rPr>
          <w:rFonts w:ascii="Times New Roman" w:hAnsi="Times New Roman"/>
          <w:b/>
          <w:i w:val="0"/>
          <w:sz w:val="27"/>
        </w:rPr>
        <w:t>11. Abgrenzung gegen falsche Überhöhung</w:t>
      </w:r>
    </w:p>
    <w:p>
      <w:pPr>
        <w:spacing w:after="120" w:line="276" w:lineRule="auto"/>
        <w:ind w:firstLine="283"/>
      </w:pPr>
      <w:r>
        <w:rPr>
          <w:rFonts w:ascii="Times New Roman" w:hAnsi="Times New Roman"/>
          <w:b w:val="0"/>
          <w:i w:val="0"/>
          <w:sz w:val="23"/>
        </w:rPr>
        <w:t>Eine starke Bailey-These braucht keine falsche Alleinstellung. Bailey hat die Ukulele nicht erfunden, er hat die hawaiianischen Musiker nicht ersetzt, und er war nicht der einzige Autor früher Methoden. Gerade diese Abgrenzung macht die Bewertung belastbarer. Seine historische Leistung liegt nicht im Ursprung, sondern in der Übersetzung: Er machte die Ukulele für breite Mainland-Amateurkreise methodisch verwendbar.</w:t>
      </w:r>
    </w:p>
    <w:p>
      <w:pPr>
        <w:spacing w:after="120" w:line="276" w:lineRule="auto"/>
        <w:ind w:firstLine="283"/>
      </w:pPr>
      <w:r>
        <w:rPr>
          <w:rFonts w:ascii="Times New Roman" w:hAnsi="Times New Roman"/>
          <w:b w:val="0"/>
          <w:i w:val="0"/>
          <w:sz w:val="23"/>
        </w:rPr>
        <w:t>Die frühen hawaiianischen Akteure, die Instrumentenbauer und die Musiker der PPIE bleiben für die Entstehung und Popularisierung der Ukulele fundamental. Bailey steht nicht gegen sie, sondern an einer anderen Stelle des Prozesses. Er gehört zur zweiten Ebene der Verbreitung: zur Standardisierung, Didaktisierung und Serienfähigkeit.</w:t>
      </w:r>
    </w:p>
    <w:p>
      <w:pPr>
        <w:spacing w:after="120" w:line="276" w:lineRule="auto"/>
        <w:ind w:firstLine="283"/>
      </w:pPr>
      <w:r>
        <w:rPr>
          <w:rFonts w:ascii="Times New Roman" w:hAnsi="Times New Roman"/>
          <w:b w:val="0"/>
          <w:i w:val="0"/>
          <w:sz w:val="23"/>
        </w:rPr>
        <w:t>Auch im Vergleich zu Kealakai, Kaʻai, Kia, Santos/Nunes und Moyer sollte Bailey nicht als isolierter Ursprung konstruiert werden. Der richtige Vergleich fragt nach Funktion. Einige frühe Autoren standen näher an hawaiianischer Herkunft und Tradition, andere an lokalen Musikschulen oder an Tin-Pan-Alley-Kontexten. Bailey steht besonders stark für die Verbindung von Westküstenverlag, Selbstunterricht, Repertoirefortsetzung und Massenauflage.</w:t>
      </w:r>
    </w:p>
    <w:p>
      <w:pPr>
        <w:spacing w:after="120" w:line="276" w:lineRule="auto"/>
        <w:ind w:firstLine="283"/>
      </w:pPr>
      <w:r>
        <w:rPr>
          <w:rFonts w:ascii="Times New Roman" w:hAnsi="Times New Roman"/>
          <w:b w:val="0"/>
          <w:i w:val="0"/>
          <w:sz w:val="23"/>
        </w:rPr>
        <w:t>Deshalb ist die Formel „Systemautor“ treffend. Bailey war nicht nur Autor eines Heftes. Er war ein Name, unter dem ein Lern- und Gebrauchssystem sichtbar wurde: Methode, Liedsammlung, Solo-Literatur, Imprints, Anzeigen, Auflagen, Händlerlogik und Amateurpraxis. Diese Systemhaftigkeit ist sein Alleinstellungsmerkmal.</w:t>
      </w:r>
    </w:p>
    <w:p>
      <w:pPr>
        <w:pStyle w:val="Heading2"/>
        <w:keepNext/>
        <w:spacing w:before="180" w:after="120"/>
        <w:ind w:firstLine="0"/>
      </w:pPr>
      <w:r>
        <w:rPr>
          <w:rFonts w:ascii="Times New Roman" w:hAnsi="Times New Roman"/>
          <w:b/>
          <w:i w:val="0"/>
          <w:sz w:val="27"/>
        </w:rPr>
        <w:t>12. Andreas Fischers Forschungsbeitrag</w:t>
      </w:r>
    </w:p>
    <w:p>
      <w:pPr>
        <w:spacing w:after="120" w:line="276" w:lineRule="auto"/>
        <w:ind w:firstLine="283"/>
      </w:pPr>
      <w:r>
        <w:rPr>
          <w:rFonts w:ascii="Times New Roman" w:hAnsi="Times New Roman"/>
          <w:b w:val="0"/>
          <w:i w:val="0"/>
          <w:sz w:val="23"/>
        </w:rPr>
        <w:t>Andreas Fischers Beitrag liegt darin, Bailey nicht nur bibliografisch, sondern infrastrukturell sichtbar zu machen. Die Rekonstruktion von Auflagen, Imprints, Originalexemplaren, Anzeigen, biografischen Spuren und Sherman-Clay-Kontexten verschiebt die Fragestellung. Es geht nicht mehr nur darum, dass Bailey existierte und publizierte. Es geht darum, wie stark seine Veröffentlichungen zirkulierten und welche Funktion sie im Ukuleleboom erfüllten.</w:t>
      </w:r>
    </w:p>
    <w:p>
      <w:pPr>
        <w:spacing w:after="120" w:line="276" w:lineRule="auto"/>
        <w:ind w:firstLine="283"/>
      </w:pPr>
      <w:r>
        <w:rPr>
          <w:rFonts w:ascii="Times New Roman" w:hAnsi="Times New Roman"/>
          <w:b w:val="0"/>
          <w:i w:val="0"/>
          <w:sz w:val="23"/>
        </w:rPr>
        <w:t>Besonders wichtig ist Fischers Aufmerksamkeit für materielle Quellen. Gebrauchsdrucke sind fragile Quellen. Sie werden benutzt, beschädigt, verschenkt, weggeworfen und selten systematisch archiviert. Ein erhaltenes Exemplar ist deshalb nicht nur Sammlungsobjekt, sondern historische Evidenz. Papier, Format, Titelblatt, Imprint, Preis, Zustand und Gebrauchsspuren können Aussagen über Zielgruppe und Nutzung ermöglichen.</w:t>
      </w:r>
    </w:p>
    <w:p>
      <w:pPr>
        <w:spacing w:after="120" w:line="276" w:lineRule="auto"/>
        <w:ind w:firstLine="283"/>
      </w:pPr>
      <w:r>
        <w:rPr>
          <w:rFonts w:ascii="Times New Roman" w:hAnsi="Times New Roman"/>
          <w:b w:val="0"/>
          <w:i w:val="0"/>
          <w:sz w:val="23"/>
        </w:rPr>
        <w:t>Fischers Eigenleistung besteht außerdem in der Verbindung von Mikro- und Makroperspektive. Die Mikroebene sind einzelne Drucke, Auflagen, Namensformen, Adressen und Sammlungsobjekte. Die Makroebene ist die Geschichte der Ukulele als moderne Freizeitpraxis. Die Stärke der Bailey-Forschung liegt genau in dieser Verbindung: ein scheinbar kleiner Name erklärt größere Prozesse der populären Musikgeschichte.</w:t>
      </w:r>
    </w:p>
    <w:p>
      <w:pPr>
        <w:spacing w:after="120" w:line="276" w:lineRule="auto"/>
        <w:ind w:firstLine="283"/>
      </w:pPr>
      <w:r>
        <w:rPr>
          <w:rFonts w:ascii="Times New Roman" w:hAnsi="Times New Roman"/>
          <w:b w:val="0"/>
          <w:i w:val="0"/>
          <w:sz w:val="23"/>
        </w:rPr>
        <w:t>Für die endgültige Monografie sollte Fischers Rolle daher nicht nur im Vorwort erwähnt werden. Sie gehört in den Forschungsstand und in die Methodik. Fischer tritt als derjenige auf, der die verstreuten materiellen und bibliografischen Spuren zu einer neuen Lesart bündelt: Bailey als Knotenpunkt von Pädagogik, Verlag, Markt und Amateurkultur.</w:t>
      </w:r>
    </w:p>
    <w:p>
      <w:pPr>
        <w:pStyle w:val="Heading2"/>
        <w:keepNext/>
        <w:spacing w:before="180" w:after="120"/>
        <w:ind w:firstLine="0"/>
      </w:pPr>
      <w:r>
        <w:rPr>
          <w:rFonts w:ascii="Times New Roman" w:hAnsi="Times New Roman"/>
          <w:b/>
          <w:i w:val="0"/>
          <w:sz w:val="27"/>
        </w:rPr>
        <w:t>13. Schlussformel</w:t>
      </w:r>
    </w:p>
    <w:p>
      <w:pPr>
        <w:spacing w:after="120" w:line="276" w:lineRule="auto"/>
        <w:ind w:firstLine="283"/>
      </w:pPr>
      <w:r>
        <w:rPr>
          <w:rFonts w:ascii="Times New Roman" w:hAnsi="Times New Roman"/>
          <w:b w:val="0"/>
          <w:i w:val="0"/>
          <w:sz w:val="23"/>
        </w:rPr>
        <w:t>Nelson Burdette Bailey war eine Schlüsselfigur der frühen amerikanischen Mainland-Ukulelenmoderne. Seine Bedeutung liegt nicht im Mythos des Virtuosen, sondern in der Organisation musikalischer Benutzbarkeit. Er machte die Ukulele für breite Amateurkreise lernbar, spielbar, singbar, wiederholbar und sozial anschlussfähig.</w:t>
      </w:r>
    </w:p>
    <w:p>
      <w:pPr>
        <w:spacing w:after="120" w:line="276" w:lineRule="auto"/>
        <w:ind w:firstLine="283"/>
      </w:pPr>
      <w:r>
        <w:rPr>
          <w:rFonts w:ascii="Times New Roman" w:hAnsi="Times New Roman"/>
          <w:b w:val="0"/>
          <w:i w:val="0"/>
          <w:sz w:val="23"/>
        </w:rPr>
        <w:t>Bailey war ein Architekt kultureller Zugänglichkeit. Durch Selbstunterricht, vereinfachte Harmonik, visuelle Griff- und Spielinformation, Repertoirebindung, Solo-Anschlussliteratur und die institutionelle Verstärkung durch Sherman, Clay &amp; Co. organisierte er eine Praxis, die massenhaft reproduzierbar wurde.</w:t>
      </w:r>
    </w:p>
    <w:p>
      <w:pPr>
        <w:spacing w:after="120" w:line="276" w:lineRule="auto"/>
        <w:ind w:firstLine="283"/>
      </w:pPr>
      <w:r>
        <w:rPr>
          <w:rFonts w:ascii="Times New Roman" w:hAnsi="Times New Roman"/>
          <w:b w:val="0"/>
          <w:i w:val="0"/>
          <w:sz w:val="23"/>
        </w:rPr>
        <w:t>Die frühe Mainland-Ukulelenkultur war deshalb nicht nur eine Geschichte von Exotik, Ausstellung, Bühne und Mode. Sie war auch eine Geschichte von Lehrheften, Liedsammlungen, Imprints, Anzeigen, Musikgeschäften, Sammlern und Amateuren. In dieser Gebrauchsgeschichte nimmt Bailey einen zentralen Platz ein.</w:t>
      </w:r>
    </w:p>
    <w:p>
      <w:pPr>
        <w:spacing w:after="120" w:line="276" w:lineRule="auto"/>
        <w:ind w:firstLine="283"/>
      </w:pPr>
      <w:r>
        <w:rPr>
          <w:rFonts w:ascii="Times New Roman" w:hAnsi="Times New Roman"/>
          <w:b w:val="0"/>
          <w:i w:val="0"/>
          <w:sz w:val="23"/>
        </w:rPr>
        <w:t>Die stärkste Endformulierung lautet: Bailey war nicht der Erfinder der Ukulele, aber einer ihrer wichtigsten Mainland-Standardisierer. Er schuf und bündelte die Formate, mit denen die Ukulele vom begehrten Objekt zum massenhaft benutzbaren Instrument wurde.</w:t>
      </w:r>
    </w:p>
    <w:p>
      <w:r>
        <w:br w:type="page"/>
      </w:r>
    </w:p>
    <w:p>
      <w:pPr>
        <w:pStyle w:val="Heading1"/>
        <w:keepNext/>
        <w:spacing w:before="280" w:after="120"/>
        <w:ind w:firstLine="0"/>
      </w:pPr>
      <w:r>
        <w:rPr>
          <w:rFonts w:ascii="Times New Roman" w:hAnsi="Times New Roman"/>
          <w:b/>
          <w:i w:val="0"/>
          <w:sz w:val="32"/>
        </w:rPr>
        <w:t>III. Dokumentation</w:t>
      </w:r>
    </w:p>
    <w:p>
      <w:pPr>
        <w:pStyle w:val="Heading2"/>
        <w:keepNext/>
        <w:spacing w:before="180" w:after="120"/>
        <w:ind w:firstLine="0"/>
      </w:pPr>
      <w:r>
        <w:rPr>
          <w:rFonts w:ascii="Times New Roman" w:hAnsi="Times New Roman"/>
          <w:b/>
          <w:i w:val="0"/>
          <w:sz w:val="27"/>
        </w:rPr>
        <w:t>A. Chronologische Matrix</w:t>
      </w:r>
    </w:p>
    <w:tbl>
      <w:tblPr>
        <w:tblStyle w:val="TableGrid"/>
        <w:tblW w:type="auto" w:w="0"/>
        <w:jc w:val="center"/>
        <w:tblLook w:firstColumn="1" w:firstRow="1" w:lastColumn="0" w:lastRow="0" w:noHBand="0" w:noVBand="1" w:val="04A0"/>
      </w:tblPr>
      <w:tblGrid>
        <w:gridCol w:w="2296"/>
        <w:gridCol w:w="2296"/>
        <w:gridCol w:w="2296"/>
        <w:gridCol w:w="2296"/>
      </w:tblGrid>
      <w:tr>
        <w:tc>
          <w:tcPr>
            <w:tcW w:type="dxa" w:w="2296"/>
            <w:vAlign w:val="top"/>
            <w:shd w:fill="D9EAF7"/>
          </w:tcPr>
          <w:p>
            <w:pPr>
              <w:spacing w:after="20" w:line="240" w:lineRule="auto"/>
            </w:pPr>
            <w:r/>
            <w:r>
              <w:rPr>
                <w:rFonts w:ascii="Times New Roman" w:hAnsi="Times New Roman"/>
                <w:b/>
                <w:sz w:val="18"/>
              </w:rPr>
              <w:t>Jahr</w:t>
            </w:r>
          </w:p>
        </w:tc>
        <w:tc>
          <w:tcPr>
            <w:tcW w:type="dxa" w:w="2296"/>
            <w:vAlign w:val="top"/>
            <w:shd w:fill="D9EAF7"/>
          </w:tcPr>
          <w:p>
            <w:pPr>
              <w:spacing w:after="20" w:line="240" w:lineRule="auto"/>
            </w:pPr>
            <w:r/>
            <w:r>
              <w:rPr>
                <w:rFonts w:ascii="Times New Roman" w:hAnsi="Times New Roman"/>
                <w:b/>
                <w:sz w:val="18"/>
              </w:rPr>
              <w:t>Quelle / Ereignis</w:t>
            </w:r>
          </w:p>
        </w:tc>
        <w:tc>
          <w:tcPr>
            <w:tcW w:type="dxa" w:w="2296"/>
            <w:vAlign w:val="top"/>
            <w:shd w:fill="D9EAF7"/>
          </w:tcPr>
          <w:p>
            <w:pPr>
              <w:spacing w:after="20" w:line="240" w:lineRule="auto"/>
            </w:pPr>
            <w:r/>
            <w:r>
              <w:rPr>
                <w:rFonts w:ascii="Times New Roman" w:hAnsi="Times New Roman"/>
                <w:b/>
                <w:sz w:val="18"/>
              </w:rPr>
              <w:t>Bedeutung</w:t>
            </w:r>
          </w:p>
        </w:tc>
        <w:tc>
          <w:tcPr>
            <w:tcW w:type="dxa" w:w="2296"/>
            <w:vAlign w:val="top"/>
            <w:shd w:fill="D9EAF7"/>
          </w:tcPr>
          <w:p>
            <w:pPr>
              <w:spacing w:after="20" w:line="240" w:lineRule="auto"/>
            </w:pPr>
            <w:r/>
            <w:r>
              <w:rPr>
                <w:rFonts w:ascii="Times New Roman" w:hAnsi="Times New Roman"/>
                <w:b/>
                <w:sz w:val="18"/>
              </w:rPr>
              <w:t>Bewertung</w:t>
            </w:r>
          </w:p>
        </w:tc>
      </w:tr>
      <w:tr>
        <w:tc>
          <w:tcPr>
            <w:tcW w:type="dxa" w:w="2296"/>
            <w:vAlign w:val="top"/>
          </w:tcPr>
          <w:p>
            <w:pPr>
              <w:spacing w:after="20" w:line="240" w:lineRule="auto"/>
            </w:pPr>
            <w:r/>
            <w:r>
              <w:rPr>
                <w:rFonts w:ascii="Times New Roman" w:hAnsi="Times New Roman"/>
                <w:b w:val="0"/>
                <w:sz w:val="18"/>
              </w:rPr>
              <w:t>1906</w:t>
            </w:r>
          </w:p>
        </w:tc>
        <w:tc>
          <w:tcPr>
            <w:tcW w:type="dxa" w:w="2296"/>
            <w:vAlign w:val="top"/>
          </w:tcPr>
          <w:p>
            <w:pPr>
              <w:spacing w:after="20" w:line="240" w:lineRule="auto"/>
            </w:pPr>
            <w:r/>
            <w:r>
              <w:rPr>
                <w:rFonts w:ascii="Times New Roman" w:hAnsi="Times New Roman"/>
                <w:b w:val="0"/>
                <w:sz w:val="18"/>
              </w:rPr>
              <w:t>Kaʻai, The Ukulele: A Hawaiian Guitar and How to Play It</w:t>
            </w:r>
          </w:p>
        </w:tc>
        <w:tc>
          <w:tcPr>
            <w:tcW w:type="dxa" w:w="2296"/>
            <w:vAlign w:val="top"/>
          </w:tcPr>
          <w:p>
            <w:pPr>
              <w:spacing w:after="20" w:line="240" w:lineRule="auto"/>
            </w:pPr>
            <w:r/>
            <w:r>
              <w:rPr>
                <w:rFonts w:ascii="Times New Roman" w:hAnsi="Times New Roman"/>
                <w:b w:val="0"/>
                <w:sz w:val="18"/>
              </w:rPr>
              <w:t>Frühe hawaiianische Methodentradition</w:t>
            </w:r>
          </w:p>
        </w:tc>
        <w:tc>
          <w:tcPr>
            <w:tcW w:type="dxa" w:w="2296"/>
            <w:vAlign w:val="top"/>
          </w:tcPr>
          <w:p>
            <w:pPr>
              <w:spacing w:after="20" w:line="240" w:lineRule="auto"/>
            </w:pPr>
            <w:r/>
            <w:r>
              <w:rPr>
                <w:rFonts w:ascii="Times New Roman" w:hAnsi="Times New Roman"/>
                <w:b w:val="0"/>
                <w:sz w:val="18"/>
              </w:rPr>
              <w:t>Ausgangspunkt für Vergleich, nicht Bailey-Ursprung</w:t>
            </w:r>
          </w:p>
        </w:tc>
      </w:tr>
      <w:tr>
        <w:tc>
          <w:tcPr>
            <w:tcW w:type="dxa" w:w="2296"/>
            <w:vAlign w:val="top"/>
          </w:tcPr>
          <w:p>
            <w:pPr>
              <w:spacing w:after="20" w:line="240" w:lineRule="auto"/>
            </w:pPr>
            <w:r/>
            <w:r>
              <w:rPr>
                <w:rFonts w:ascii="Times New Roman" w:hAnsi="Times New Roman"/>
                <w:b w:val="0"/>
                <w:sz w:val="18"/>
              </w:rPr>
              <w:t>1914</w:t>
            </w:r>
          </w:p>
        </w:tc>
        <w:tc>
          <w:tcPr>
            <w:tcW w:type="dxa" w:w="2296"/>
            <w:vAlign w:val="top"/>
          </w:tcPr>
          <w:p>
            <w:pPr>
              <w:spacing w:after="20" w:line="240" w:lineRule="auto"/>
            </w:pPr>
            <w:r/>
            <w:r>
              <w:rPr>
                <w:rFonts w:ascii="Times New Roman" w:hAnsi="Times New Roman"/>
                <w:b w:val="0"/>
                <w:sz w:val="18"/>
              </w:rPr>
              <w:t>Bailey, Practical Method, Sherman, Clay &amp; Co.</w:t>
            </w:r>
          </w:p>
        </w:tc>
        <w:tc>
          <w:tcPr>
            <w:tcW w:type="dxa" w:w="2296"/>
            <w:vAlign w:val="top"/>
          </w:tcPr>
          <w:p>
            <w:pPr>
              <w:spacing w:after="20" w:line="240" w:lineRule="auto"/>
            </w:pPr>
            <w:r/>
            <w:r>
              <w:rPr>
                <w:rFonts w:ascii="Times New Roman" w:hAnsi="Times New Roman"/>
                <w:b w:val="0"/>
                <w:sz w:val="18"/>
              </w:rPr>
              <w:t>Selbstunterricht, 38 Seiten; 20. Edition bibliografisch sichtbar</w:t>
            </w:r>
          </w:p>
        </w:tc>
        <w:tc>
          <w:tcPr>
            <w:tcW w:type="dxa" w:w="2296"/>
            <w:vAlign w:val="top"/>
          </w:tcPr>
          <w:p>
            <w:pPr>
              <w:spacing w:after="20" w:line="240" w:lineRule="auto"/>
            </w:pPr>
            <w:r/>
            <w:r>
              <w:rPr>
                <w:rFonts w:ascii="Times New Roman" w:hAnsi="Times New Roman"/>
                <w:b w:val="0"/>
                <w:sz w:val="18"/>
              </w:rPr>
              <w:t>Kern des Bailey-Systems</w:t>
            </w:r>
          </w:p>
        </w:tc>
      </w:tr>
      <w:tr>
        <w:tc>
          <w:tcPr>
            <w:tcW w:type="dxa" w:w="2296"/>
            <w:vAlign w:val="top"/>
          </w:tcPr>
          <w:p>
            <w:pPr>
              <w:spacing w:after="20" w:line="240" w:lineRule="auto"/>
            </w:pPr>
            <w:r/>
            <w:r>
              <w:rPr>
                <w:rFonts w:ascii="Times New Roman" w:hAnsi="Times New Roman"/>
                <w:b w:val="0"/>
                <w:sz w:val="18"/>
              </w:rPr>
              <w:t>1915</w:t>
            </w:r>
          </w:p>
        </w:tc>
        <w:tc>
          <w:tcPr>
            <w:tcW w:type="dxa" w:w="2296"/>
            <w:vAlign w:val="top"/>
          </w:tcPr>
          <w:p>
            <w:pPr>
              <w:spacing w:after="20" w:line="240" w:lineRule="auto"/>
            </w:pPr>
            <w:r/>
            <w:r>
              <w:rPr>
                <w:rFonts w:ascii="Times New Roman" w:hAnsi="Times New Roman"/>
                <w:b w:val="0"/>
                <w:sz w:val="18"/>
              </w:rPr>
              <w:t>Panama-Pacific International Exposition, San Francisco</w:t>
            </w:r>
          </w:p>
        </w:tc>
        <w:tc>
          <w:tcPr>
            <w:tcW w:type="dxa" w:w="2296"/>
            <w:vAlign w:val="top"/>
          </w:tcPr>
          <w:p>
            <w:pPr>
              <w:spacing w:after="20" w:line="240" w:lineRule="auto"/>
            </w:pPr>
            <w:r/>
            <w:r>
              <w:rPr>
                <w:rFonts w:ascii="Times New Roman" w:hAnsi="Times New Roman"/>
                <w:b w:val="0"/>
                <w:sz w:val="18"/>
              </w:rPr>
              <w:t>Hawaii- und Ukulele-Präsenz in großem Ausstellungskontext</w:t>
            </w:r>
          </w:p>
        </w:tc>
        <w:tc>
          <w:tcPr>
            <w:tcW w:type="dxa" w:w="2296"/>
            <w:vAlign w:val="top"/>
          </w:tcPr>
          <w:p>
            <w:pPr>
              <w:spacing w:after="20" w:line="240" w:lineRule="auto"/>
            </w:pPr>
            <w:r/>
            <w:r>
              <w:rPr>
                <w:rFonts w:ascii="Times New Roman" w:hAnsi="Times New Roman"/>
                <w:b w:val="0"/>
                <w:sz w:val="18"/>
              </w:rPr>
              <w:t>Kultureller Verstärker des Mainland-Booms</w:t>
            </w:r>
          </w:p>
        </w:tc>
      </w:tr>
      <w:tr>
        <w:tc>
          <w:tcPr>
            <w:tcW w:type="dxa" w:w="2296"/>
            <w:vAlign w:val="top"/>
          </w:tcPr>
          <w:p>
            <w:pPr>
              <w:spacing w:after="20" w:line="240" w:lineRule="auto"/>
            </w:pPr>
            <w:r/>
            <w:r>
              <w:rPr>
                <w:rFonts w:ascii="Times New Roman" w:hAnsi="Times New Roman"/>
                <w:b w:val="0"/>
                <w:sz w:val="18"/>
              </w:rPr>
              <w:t>1916</w:t>
            </w:r>
          </w:p>
        </w:tc>
        <w:tc>
          <w:tcPr>
            <w:tcW w:type="dxa" w:w="2296"/>
            <w:vAlign w:val="top"/>
          </w:tcPr>
          <w:p>
            <w:pPr>
              <w:spacing w:after="20" w:line="240" w:lineRule="auto"/>
            </w:pPr>
            <w:r/>
            <w:r>
              <w:rPr>
                <w:rFonts w:ascii="Times New Roman" w:hAnsi="Times New Roman"/>
                <w:b w:val="0"/>
                <w:sz w:val="18"/>
              </w:rPr>
              <w:t>Songs from Aloha Land</w:t>
            </w:r>
          </w:p>
        </w:tc>
        <w:tc>
          <w:tcPr>
            <w:tcW w:type="dxa" w:w="2296"/>
            <w:vAlign w:val="top"/>
          </w:tcPr>
          <w:p>
            <w:pPr>
              <w:spacing w:after="20" w:line="240" w:lineRule="auto"/>
            </w:pPr>
            <w:r/>
            <w:r>
              <w:rPr>
                <w:rFonts w:ascii="Times New Roman" w:hAnsi="Times New Roman"/>
                <w:b w:val="0"/>
                <w:sz w:val="18"/>
              </w:rPr>
              <w:t>94 Seiten Lied- und Begleitpraxis</w:t>
            </w:r>
          </w:p>
        </w:tc>
        <w:tc>
          <w:tcPr>
            <w:tcW w:type="dxa" w:w="2296"/>
            <w:vAlign w:val="top"/>
          </w:tcPr>
          <w:p>
            <w:pPr>
              <w:spacing w:after="20" w:line="240" w:lineRule="auto"/>
            </w:pPr>
            <w:r/>
            <w:r>
              <w:rPr>
                <w:rFonts w:ascii="Times New Roman" w:hAnsi="Times New Roman"/>
                <w:b w:val="0"/>
                <w:sz w:val="18"/>
              </w:rPr>
              <w:t>Repertoire-Scharnier zwischen Methode und Gebrauch</w:t>
            </w:r>
          </w:p>
        </w:tc>
      </w:tr>
      <w:tr>
        <w:tc>
          <w:tcPr>
            <w:tcW w:type="dxa" w:w="2296"/>
            <w:vAlign w:val="top"/>
          </w:tcPr>
          <w:p>
            <w:pPr>
              <w:spacing w:after="20" w:line="240" w:lineRule="auto"/>
            </w:pPr>
            <w:r/>
            <w:r>
              <w:rPr>
                <w:rFonts w:ascii="Times New Roman" w:hAnsi="Times New Roman"/>
                <w:b w:val="0"/>
                <w:sz w:val="18"/>
              </w:rPr>
              <w:t>1916</w:t>
            </w:r>
          </w:p>
        </w:tc>
        <w:tc>
          <w:tcPr>
            <w:tcW w:type="dxa" w:w="2296"/>
            <w:vAlign w:val="top"/>
          </w:tcPr>
          <w:p>
            <w:pPr>
              <w:spacing w:after="20" w:line="240" w:lineRule="auto"/>
            </w:pPr>
            <w:r/>
            <w:r>
              <w:rPr>
                <w:rFonts w:ascii="Times New Roman" w:hAnsi="Times New Roman"/>
                <w:b w:val="0"/>
                <w:sz w:val="18"/>
              </w:rPr>
              <w:t>The Ukulele as a Solo Instrument, Bailey/Awai</w:t>
            </w:r>
          </w:p>
        </w:tc>
        <w:tc>
          <w:tcPr>
            <w:tcW w:type="dxa" w:w="2296"/>
            <w:vAlign w:val="top"/>
          </w:tcPr>
          <w:p>
            <w:pPr>
              <w:spacing w:after="20" w:line="240" w:lineRule="auto"/>
            </w:pPr>
            <w:r/>
            <w:r>
              <w:rPr>
                <w:rFonts w:ascii="Times New Roman" w:hAnsi="Times New Roman"/>
                <w:b w:val="0"/>
                <w:sz w:val="18"/>
              </w:rPr>
              <w:t>71 Seiten; Notation, Tabulatur, Akkorde</w:t>
            </w:r>
          </w:p>
        </w:tc>
        <w:tc>
          <w:tcPr>
            <w:tcW w:type="dxa" w:w="2296"/>
            <w:vAlign w:val="top"/>
          </w:tcPr>
          <w:p>
            <w:pPr>
              <w:spacing w:after="20" w:line="240" w:lineRule="auto"/>
            </w:pPr>
            <w:r/>
            <w:r>
              <w:rPr>
                <w:rFonts w:ascii="Times New Roman" w:hAnsi="Times New Roman"/>
                <w:b w:val="0"/>
                <w:sz w:val="18"/>
              </w:rPr>
              <w:t>Fortgeschrittene Stufe des Systems</w:t>
            </w:r>
          </w:p>
        </w:tc>
      </w:tr>
      <w:tr>
        <w:tc>
          <w:tcPr>
            <w:tcW w:type="dxa" w:w="2296"/>
            <w:vAlign w:val="top"/>
          </w:tcPr>
          <w:p>
            <w:pPr>
              <w:spacing w:after="20" w:line="240" w:lineRule="auto"/>
            </w:pPr>
            <w:r/>
            <w:r>
              <w:rPr>
                <w:rFonts w:ascii="Times New Roman" w:hAnsi="Times New Roman"/>
                <w:b w:val="0"/>
                <w:sz w:val="18"/>
              </w:rPr>
              <w:t>1920er</w:t>
            </w:r>
          </w:p>
        </w:tc>
        <w:tc>
          <w:tcPr>
            <w:tcW w:type="dxa" w:w="2296"/>
            <w:vAlign w:val="top"/>
          </w:tcPr>
          <w:p>
            <w:pPr>
              <w:spacing w:after="20" w:line="240" w:lineRule="auto"/>
            </w:pPr>
            <w:r/>
            <w:r>
              <w:rPr>
                <w:rFonts w:ascii="Times New Roman" w:hAnsi="Times New Roman"/>
                <w:b w:val="0"/>
                <w:sz w:val="18"/>
              </w:rPr>
              <w:t>Mehrfache Ausgaben, Imprints, Werbeangaben</w:t>
            </w:r>
          </w:p>
        </w:tc>
        <w:tc>
          <w:tcPr>
            <w:tcW w:type="dxa" w:w="2296"/>
            <w:vAlign w:val="top"/>
          </w:tcPr>
          <w:p>
            <w:pPr>
              <w:spacing w:after="20" w:line="240" w:lineRule="auto"/>
            </w:pPr>
            <w:r/>
            <w:r>
              <w:rPr>
                <w:rFonts w:ascii="Times New Roman" w:hAnsi="Times New Roman"/>
                <w:b w:val="0"/>
                <w:sz w:val="18"/>
              </w:rPr>
              <w:t>Indikatoren hoher Zirkulation</w:t>
            </w:r>
          </w:p>
        </w:tc>
        <w:tc>
          <w:tcPr>
            <w:tcW w:type="dxa" w:w="2296"/>
            <w:vAlign w:val="top"/>
          </w:tcPr>
          <w:p>
            <w:pPr>
              <w:spacing w:after="20" w:line="240" w:lineRule="auto"/>
            </w:pPr>
            <w:r/>
            <w:r>
              <w:rPr>
                <w:rFonts w:ascii="Times New Roman" w:hAnsi="Times New Roman"/>
                <w:b w:val="0"/>
                <w:sz w:val="18"/>
              </w:rPr>
              <w:t>Marktreichweite statt Einzelpublikation</w:t>
            </w:r>
          </w:p>
        </w:tc>
      </w:tr>
      <w:tr>
        <w:tc>
          <w:tcPr>
            <w:tcW w:type="dxa" w:w="2296"/>
            <w:vAlign w:val="top"/>
          </w:tcPr>
          <w:p>
            <w:pPr>
              <w:spacing w:after="20" w:line="240" w:lineRule="auto"/>
            </w:pPr>
            <w:r/>
            <w:r>
              <w:rPr>
                <w:rFonts w:ascii="Times New Roman" w:hAnsi="Times New Roman"/>
                <w:b w:val="0"/>
                <w:sz w:val="18"/>
              </w:rPr>
              <w:t>1925</w:t>
            </w:r>
          </w:p>
        </w:tc>
        <w:tc>
          <w:tcPr>
            <w:tcW w:type="dxa" w:w="2296"/>
            <w:vAlign w:val="top"/>
          </w:tcPr>
          <w:p>
            <w:pPr>
              <w:spacing w:after="20" w:line="240" w:lineRule="auto"/>
            </w:pPr>
            <w:r/>
            <w:r>
              <w:rPr>
                <w:rFonts w:ascii="Times New Roman" w:hAnsi="Times New Roman"/>
                <w:b w:val="0"/>
                <w:sz w:val="18"/>
              </w:rPr>
              <w:t>Sherman-Clay-Behauptung: 2 Mio. Exemplare</w:t>
            </w:r>
          </w:p>
        </w:tc>
        <w:tc>
          <w:tcPr>
            <w:tcW w:type="dxa" w:w="2296"/>
            <w:vAlign w:val="top"/>
          </w:tcPr>
          <w:p>
            <w:pPr>
              <w:spacing w:after="20" w:line="240" w:lineRule="auto"/>
            </w:pPr>
            <w:r/>
            <w:r>
              <w:rPr>
                <w:rFonts w:ascii="Times New Roman" w:hAnsi="Times New Roman"/>
                <w:b w:val="0"/>
                <w:sz w:val="18"/>
              </w:rPr>
              <w:t>Öffentliche Marktpositionierung</w:t>
            </w:r>
          </w:p>
        </w:tc>
        <w:tc>
          <w:tcPr>
            <w:tcW w:type="dxa" w:w="2296"/>
            <w:vAlign w:val="top"/>
          </w:tcPr>
          <w:p>
            <w:pPr>
              <w:spacing w:after="20" w:line="240" w:lineRule="auto"/>
            </w:pPr>
            <w:r/>
            <w:r>
              <w:rPr>
                <w:rFonts w:ascii="Times New Roman" w:hAnsi="Times New Roman"/>
                <w:b w:val="0"/>
                <w:sz w:val="18"/>
              </w:rPr>
              <w:t>Starker Beleg für Leitmedium-Charakter</w:t>
            </w:r>
          </w:p>
        </w:tc>
      </w:tr>
    </w:tbl>
    <w:p>
      <w:pPr>
        <w:pStyle w:val="Heading2"/>
        <w:keepNext/>
        <w:spacing w:before="180" w:after="120"/>
        <w:ind w:firstLine="0"/>
      </w:pPr>
      <w:r>
        <w:rPr>
          <w:rFonts w:ascii="Times New Roman" w:hAnsi="Times New Roman"/>
          <w:b/>
          <w:i w:val="0"/>
          <w:sz w:val="27"/>
        </w:rPr>
        <w:t>B. Quellen- und Argumentationsmatrix</w:t>
      </w:r>
    </w:p>
    <w:tbl>
      <w:tblPr>
        <w:tblStyle w:val="TableGrid"/>
        <w:tblW w:type="auto" w:w="0"/>
        <w:jc w:val="center"/>
        <w:tblLook w:firstColumn="1" w:firstRow="1" w:lastColumn="0" w:lastRow="0" w:noHBand="0" w:noVBand="1" w:val="04A0"/>
      </w:tblPr>
      <w:tblGrid>
        <w:gridCol w:w="2296"/>
        <w:gridCol w:w="2296"/>
        <w:gridCol w:w="2296"/>
        <w:gridCol w:w="2296"/>
      </w:tblGrid>
      <w:tr>
        <w:tc>
          <w:tcPr>
            <w:tcW w:type="dxa" w:w="2296"/>
            <w:vAlign w:val="top"/>
            <w:shd w:fill="D9EAF7"/>
          </w:tcPr>
          <w:p>
            <w:pPr>
              <w:spacing w:after="20" w:line="240" w:lineRule="auto"/>
            </w:pPr>
            <w:r/>
            <w:r>
              <w:rPr>
                <w:rFonts w:ascii="Times New Roman" w:hAnsi="Times New Roman"/>
                <w:b/>
                <w:sz w:val="18"/>
              </w:rPr>
              <w:t>Quellentyp</w:t>
            </w:r>
          </w:p>
        </w:tc>
        <w:tc>
          <w:tcPr>
            <w:tcW w:type="dxa" w:w="2296"/>
            <w:vAlign w:val="top"/>
            <w:shd w:fill="D9EAF7"/>
          </w:tcPr>
          <w:p>
            <w:pPr>
              <w:spacing w:after="20" w:line="240" w:lineRule="auto"/>
            </w:pPr>
            <w:r/>
            <w:r>
              <w:rPr>
                <w:rFonts w:ascii="Times New Roman" w:hAnsi="Times New Roman"/>
                <w:b/>
                <w:sz w:val="18"/>
              </w:rPr>
              <w:t>Beispiel</w:t>
            </w:r>
          </w:p>
        </w:tc>
        <w:tc>
          <w:tcPr>
            <w:tcW w:type="dxa" w:w="2296"/>
            <w:vAlign w:val="top"/>
            <w:shd w:fill="D9EAF7"/>
          </w:tcPr>
          <w:p>
            <w:pPr>
              <w:spacing w:after="20" w:line="240" w:lineRule="auto"/>
            </w:pPr>
            <w:r/>
            <w:r>
              <w:rPr>
                <w:rFonts w:ascii="Times New Roman" w:hAnsi="Times New Roman"/>
                <w:b/>
                <w:sz w:val="18"/>
              </w:rPr>
              <w:t>Aussagekraft</w:t>
            </w:r>
          </w:p>
        </w:tc>
        <w:tc>
          <w:tcPr>
            <w:tcW w:type="dxa" w:w="2296"/>
            <w:vAlign w:val="top"/>
            <w:shd w:fill="D9EAF7"/>
          </w:tcPr>
          <w:p>
            <w:pPr>
              <w:spacing w:after="20" w:line="240" w:lineRule="auto"/>
            </w:pPr>
            <w:r/>
            <w:r>
              <w:rPr>
                <w:rFonts w:ascii="Times New Roman" w:hAnsi="Times New Roman"/>
                <w:b/>
                <w:sz w:val="18"/>
              </w:rPr>
              <w:t>Verwendung in der Argumentation</w:t>
            </w:r>
          </w:p>
        </w:tc>
      </w:tr>
      <w:tr>
        <w:tc>
          <w:tcPr>
            <w:tcW w:type="dxa" w:w="2296"/>
            <w:vAlign w:val="top"/>
          </w:tcPr>
          <w:p>
            <w:pPr>
              <w:spacing w:after="20" w:line="240" w:lineRule="auto"/>
            </w:pPr>
            <w:r/>
            <w:r>
              <w:rPr>
                <w:rFonts w:ascii="Times New Roman" w:hAnsi="Times New Roman"/>
                <w:b w:val="0"/>
                <w:sz w:val="18"/>
              </w:rPr>
              <w:t>Primärdruck</w:t>
            </w:r>
          </w:p>
        </w:tc>
        <w:tc>
          <w:tcPr>
            <w:tcW w:type="dxa" w:w="2296"/>
            <w:vAlign w:val="top"/>
          </w:tcPr>
          <w:p>
            <w:pPr>
              <w:spacing w:after="20" w:line="240" w:lineRule="auto"/>
            </w:pPr>
            <w:r/>
            <w:r>
              <w:rPr>
                <w:rFonts w:ascii="Times New Roman" w:hAnsi="Times New Roman"/>
                <w:b w:val="0"/>
                <w:sz w:val="18"/>
              </w:rPr>
              <w:t>Practical Method, 1914</w:t>
            </w:r>
          </w:p>
        </w:tc>
        <w:tc>
          <w:tcPr>
            <w:tcW w:type="dxa" w:w="2296"/>
            <w:vAlign w:val="top"/>
          </w:tcPr>
          <w:p>
            <w:pPr>
              <w:spacing w:after="20" w:line="240" w:lineRule="auto"/>
            </w:pPr>
            <w:r/>
            <w:r>
              <w:rPr>
                <w:rFonts w:ascii="Times New Roman" w:hAnsi="Times New Roman"/>
                <w:b w:val="0"/>
                <w:sz w:val="18"/>
              </w:rPr>
              <w:t>Direkter Werkbeleg</w:t>
            </w:r>
          </w:p>
        </w:tc>
        <w:tc>
          <w:tcPr>
            <w:tcW w:type="dxa" w:w="2296"/>
            <w:vAlign w:val="top"/>
          </w:tcPr>
          <w:p>
            <w:pPr>
              <w:spacing w:after="20" w:line="240" w:lineRule="auto"/>
            </w:pPr>
            <w:r/>
            <w:r>
              <w:rPr>
                <w:rFonts w:ascii="Times New Roman" w:hAnsi="Times New Roman"/>
                <w:b w:val="0"/>
                <w:sz w:val="18"/>
              </w:rPr>
              <w:t>Bailey als Autor eines Selbstunterrichtssystems</w:t>
            </w:r>
          </w:p>
        </w:tc>
      </w:tr>
      <w:tr>
        <w:tc>
          <w:tcPr>
            <w:tcW w:type="dxa" w:w="2296"/>
            <w:vAlign w:val="top"/>
          </w:tcPr>
          <w:p>
            <w:pPr>
              <w:spacing w:after="20" w:line="240" w:lineRule="auto"/>
            </w:pPr>
            <w:r/>
            <w:r>
              <w:rPr>
                <w:rFonts w:ascii="Times New Roman" w:hAnsi="Times New Roman"/>
                <w:b w:val="0"/>
                <w:sz w:val="18"/>
              </w:rPr>
              <w:t>Repertoiredruck</w:t>
            </w:r>
          </w:p>
        </w:tc>
        <w:tc>
          <w:tcPr>
            <w:tcW w:type="dxa" w:w="2296"/>
            <w:vAlign w:val="top"/>
          </w:tcPr>
          <w:p>
            <w:pPr>
              <w:spacing w:after="20" w:line="240" w:lineRule="auto"/>
            </w:pPr>
            <w:r/>
            <w:r>
              <w:rPr>
                <w:rFonts w:ascii="Times New Roman" w:hAnsi="Times New Roman"/>
                <w:b w:val="0"/>
                <w:sz w:val="18"/>
              </w:rPr>
              <w:t>Songs from Aloha Land, 1916</w:t>
            </w:r>
          </w:p>
        </w:tc>
        <w:tc>
          <w:tcPr>
            <w:tcW w:type="dxa" w:w="2296"/>
            <w:vAlign w:val="top"/>
          </w:tcPr>
          <w:p>
            <w:pPr>
              <w:spacing w:after="20" w:line="240" w:lineRule="auto"/>
            </w:pPr>
            <w:r/>
            <w:r>
              <w:rPr>
                <w:rFonts w:ascii="Times New Roman" w:hAnsi="Times New Roman"/>
                <w:b w:val="0"/>
                <w:sz w:val="18"/>
              </w:rPr>
              <w:t>Beleg für Lied- und Begleitpraxis</w:t>
            </w:r>
          </w:p>
        </w:tc>
        <w:tc>
          <w:tcPr>
            <w:tcW w:type="dxa" w:w="2296"/>
            <w:vAlign w:val="top"/>
          </w:tcPr>
          <w:p>
            <w:pPr>
              <w:spacing w:after="20" w:line="240" w:lineRule="auto"/>
            </w:pPr>
            <w:r/>
            <w:r>
              <w:rPr>
                <w:rFonts w:ascii="Times New Roman" w:hAnsi="Times New Roman"/>
                <w:b w:val="0"/>
                <w:sz w:val="18"/>
              </w:rPr>
              <w:t>Bailey als Arrangeur und Repertoirevermittler</w:t>
            </w:r>
          </w:p>
        </w:tc>
      </w:tr>
      <w:tr>
        <w:tc>
          <w:tcPr>
            <w:tcW w:type="dxa" w:w="2296"/>
            <w:vAlign w:val="top"/>
          </w:tcPr>
          <w:p>
            <w:pPr>
              <w:spacing w:after="20" w:line="240" w:lineRule="auto"/>
            </w:pPr>
            <w:r/>
            <w:r>
              <w:rPr>
                <w:rFonts w:ascii="Times New Roman" w:hAnsi="Times New Roman"/>
                <w:b w:val="0"/>
                <w:sz w:val="18"/>
              </w:rPr>
              <w:t>Fortgeschrittenenliteratur</w:t>
            </w:r>
          </w:p>
        </w:tc>
        <w:tc>
          <w:tcPr>
            <w:tcW w:type="dxa" w:w="2296"/>
            <w:vAlign w:val="top"/>
          </w:tcPr>
          <w:p>
            <w:pPr>
              <w:spacing w:after="20" w:line="240" w:lineRule="auto"/>
            </w:pPr>
            <w:r/>
            <w:r>
              <w:rPr>
                <w:rFonts w:ascii="Times New Roman" w:hAnsi="Times New Roman"/>
                <w:b w:val="0"/>
                <w:sz w:val="18"/>
              </w:rPr>
              <w:t>The Ukulele as a Solo Instrument, 1916</w:t>
            </w:r>
          </w:p>
        </w:tc>
        <w:tc>
          <w:tcPr>
            <w:tcW w:type="dxa" w:w="2296"/>
            <w:vAlign w:val="top"/>
          </w:tcPr>
          <w:p>
            <w:pPr>
              <w:spacing w:after="20" w:line="240" w:lineRule="auto"/>
            </w:pPr>
            <w:r/>
            <w:r>
              <w:rPr>
                <w:rFonts w:ascii="Times New Roman" w:hAnsi="Times New Roman"/>
                <w:b w:val="0"/>
                <w:sz w:val="18"/>
              </w:rPr>
              <w:t>Beleg für Solo- und Tabulaturliteratur</w:t>
            </w:r>
          </w:p>
        </w:tc>
        <w:tc>
          <w:tcPr>
            <w:tcW w:type="dxa" w:w="2296"/>
            <w:vAlign w:val="top"/>
          </w:tcPr>
          <w:p>
            <w:pPr>
              <w:spacing w:after="20" w:line="240" w:lineRule="auto"/>
            </w:pPr>
            <w:r/>
            <w:r>
              <w:rPr>
                <w:rFonts w:ascii="Times New Roman" w:hAnsi="Times New Roman"/>
                <w:b w:val="0"/>
                <w:sz w:val="18"/>
              </w:rPr>
              <w:t>Bailey-System über den Anfängerstatus hinaus</w:t>
            </w:r>
          </w:p>
        </w:tc>
      </w:tr>
      <w:tr>
        <w:tc>
          <w:tcPr>
            <w:tcW w:type="dxa" w:w="2296"/>
            <w:vAlign w:val="top"/>
          </w:tcPr>
          <w:p>
            <w:pPr>
              <w:spacing w:after="20" w:line="240" w:lineRule="auto"/>
            </w:pPr>
            <w:r/>
            <w:r>
              <w:rPr>
                <w:rFonts w:ascii="Times New Roman" w:hAnsi="Times New Roman"/>
                <w:b w:val="0"/>
                <w:sz w:val="18"/>
              </w:rPr>
              <w:t>Bibliografischer Nachweis</w:t>
            </w:r>
          </w:p>
        </w:tc>
        <w:tc>
          <w:tcPr>
            <w:tcW w:type="dxa" w:w="2296"/>
            <w:vAlign w:val="top"/>
          </w:tcPr>
          <w:p>
            <w:pPr>
              <w:spacing w:after="20" w:line="240" w:lineRule="auto"/>
            </w:pPr>
            <w:r/>
            <w:r>
              <w:rPr>
                <w:rFonts w:ascii="Times New Roman" w:hAnsi="Times New Roman"/>
                <w:b w:val="0"/>
                <w:sz w:val="18"/>
              </w:rPr>
              <w:t>Google Books, Ukuleles.com, UHM</w:t>
            </w:r>
          </w:p>
        </w:tc>
        <w:tc>
          <w:tcPr>
            <w:tcW w:type="dxa" w:w="2296"/>
            <w:vAlign w:val="top"/>
          </w:tcPr>
          <w:p>
            <w:pPr>
              <w:spacing w:after="20" w:line="240" w:lineRule="auto"/>
            </w:pPr>
            <w:r/>
            <w:r>
              <w:rPr>
                <w:rFonts w:ascii="Times New Roman" w:hAnsi="Times New Roman"/>
                <w:b w:val="0"/>
                <w:sz w:val="18"/>
              </w:rPr>
              <w:t>Nachweis von Umfang, Ausgabe, Imprint, Varianten</w:t>
            </w:r>
          </w:p>
        </w:tc>
        <w:tc>
          <w:tcPr>
            <w:tcW w:type="dxa" w:w="2296"/>
            <w:vAlign w:val="top"/>
          </w:tcPr>
          <w:p>
            <w:pPr>
              <w:spacing w:after="20" w:line="240" w:lineRule="auto"/>
            </w:pPr>
            <w:r/>
            <w:r>
              <w:rPr>
                <w:rFonts w:ascii="Times New Roman" w:hAnsi="Times New Roman"/>
                <w:b w:val="0"/>
                <w:sz w:val="18"/>
              </w:rPr>
              <w:t>Serielle Präsenz statt Einzeltitel</w:t>
            </w:r>
          </w:p>
        </w:tc>
      </w:tr>
      <w:tr>
        <w:tc>
          <w:tcPr>
            <w:tcW w:type="dxa" w:w="2296"/>
            <w:vAlign w:val="top"/>
          </w:tcPr>
          <w:p>
            <w:pPr>
              <w:spacing w:after="20" w:line="240" w:lineRule="auto"/>
            </w:pPr>
            <w:r/>
            <w:r>
              <w:rPr>
                <w:rFonts w:ascii="Times New Roman" w:hAnsi="Times New Roman"/>
                <w:b w:val="0"/>
                <w:sz w:val="18"/>
              </w:rPr>
              <w:t>Werbeaussage</w:t>
            </w:r>
          </w:p>
        </w:tc>
        <w:tc>
          <w:tcPr>
            <w:tcW w:type="dxa" w:w="2296"/>
            <w:vAlign w:val="top"/>
          </w:tcPr>
          <w:p>
            <w:pPr>
              <w:spacing w:after="20" w:line="240" w:lineRule="auto"/>
            </w:pPr>
            <w:r/>
            <w:r>
              <w:rPr>
                <w:rFonts w:ascii="Times New Roman" w:hAnsi="Times New Roman"/>
                <w:b w:val="0"/>
                <w:sz w:val="18"/>
              </w:rPr>
              <w:t>2-Millionen-Claim 1925</w:t>
            </w:r>
          </w:p>
        </w:tc>
        <w:tc>
          <w:tcPr>
            <w:tcW w:type="dxa" w:w="2296"/>
            <w:vAlign w:val="top"/>
          </w:tcPr>
          <w:p>
            <w:pPr>
              <w:spacing w:after="20" w:line="240" w:lineRule="auto"/>
            </w:pPr>
            <w:r/>
            <w:r>
              <w:rPr>
                <w:rFonts w:ascii="Times New Roman" w:hAnsi="Times New Roman"/>
                <w:b w:val="0"/>
                <w:sz w:val="18"/>
              </w:rPr>
              <w:t>Marktpositionierung durch Verlag</w:t>
            </w:r>
          </w:p>
        </w:tc>
        <w:tc>
          <w:tcPr>
            <w:tcW w:type="dxa" w:w="2296"/>
            <w:vAlign w:val="top"/>
          </w:tcPr>
          <w:p>
            <w:pPr>
              <w:spacing w:after="20" w:line="240" w:lineRule="auto"/>
            </w:pPr>
            <w:r/>
            <w:r>
              <w:rPr>
                <w:rFonts w:ascii="Times New Roman" w:hAnsi="Times New Roman"/>
                <w:b w:val="0"/>
                <w:sz w:val="18"/>
              </w:rPr>
              <w:t>Beleg für behauptete Massenzirkulation</w:t>
            </w:r>
          </w:p>
        </w:tc>
      </w:tr>
      <w:tr>
        <w:tc>
          <w:tcPr>
            <w:tcW w:type="dxa" w:w="2296"/>
            <w:vAlign w:val="top"/>
          </w:tcPr>
          <w:p>
            <w:pPr>
              <w:spacing w:after="20" w:line="240" w:lineRule="auto"/>
            </w:pPr>
            <w:r/>
            <w:r>
              <w:rPr>
                <w:rFonts w:ascii="Times New Roman" w:hAnsi="Times New Roman"/>
                <w:b w:val="0"/>
                <w:sz w:val="18"/>
              </w:rPr>
              <w:t>Sammlungsbefund</w:t>
            </w:r>
          </w:p>
        </w:tc>
        <w:tc>
          <w:tcPr>
            <w:tcW w:type="dxa" w:w="2296"/>
            <w:vAlign w:val="top"/>
          </w:tcPr>
          <w:p>
            <w:pPr>
              <w:spacing w:after="20" w:line="240" w:lineRule="auto"/>
            </w:pPr>
            <w:r/>
            <w:r>
              <w:rPr>
                <w:rFonts w:ascii="Times New Roman" w:hAnsi="Times New Roman"/>
                <w:b w:val="0"/>
                <w:sz w:val="18"/>
              </w:rPr>
              <w:t>51. Auflage / Originalexemplare Fischer</w:t>
            </w:r>
          </w:p>
        </w:tc>
        <w:tc>
          <w:tcPr>
            <w:tcW w:type="dxa" w:w="2296"/>
            <w:vAlign w:val="top"/>
          </w:tcPr>
          <w:p>
            <w:pPr>
              <w:spacing w:after="20" w:line="240" w:lineRule="auto"/>
            </w:pPr>
            <w:r/>
            <w:r>
              <w:rPr>
                <w:rFonts w:ascii="Times New Roman" w:hAnsi="Times New Roman"/>
                <w:b w:val="0"/>
                <w:sz w:val="18"/>
              </w:rPr>
              <w:t>Materielle Evidenz</w:t>
            </w:r>
          </w:p>
        </w:tc>
        <w:tc>
          <w:tcPr>
            <w:tcW w:type="dxa" w:w="2296"/>
            <w:vAlign w:val="top"/>
          </w:tcPr>
          <w:p>
            <w:pPr>
              <w:spacing w:after="20" w:line="240" w:lineRule="auto"/>
            </w:pPr>
            <w:r/>
            <w:r>
              <w:rPr>
                <w:rFonts w:ascii="Times New Roman" w:hAnsi="Times New Roman"/>
                <w:b w:val="0"/>
                <w:sz w:val="18"/>
              </w:rPr>
              <w:t>Empirische Verdichtung der Auflagen- und Imprintthese</w:t>
            </w:r>
          </w:p>
        </w:tc>
      </w:tr>
      <w:tr>
        <w:tc>
          <w:tcPr>
            <w:tcW w:type="dxa" w:w="2296"/>
            <w:vAlign w:val="top"/>
          </w:tcPr>
          <w:p>
            <w:pPr>
              <w:spacing w:after="20" w:line="240" w:lineRule="auto"/>
            </w:pPr>
            <w:r/>
            <w:r>
              <w:rPr>
                <w:rFonts w:ascii="Times New Roman" w:hAnsi="Times New Roman"/>
                <w:b w:val="0"/>
                <w:sz w:val="18"/>
              </w:rPr>
              <w:t>Kulturhistorische Deutung</w:t>
            </w:r>
          </w:p>
        </w:tc>
        <w:tc>
          <w:tcPr>
            <w:tcW w:type="dxa" w:w="2296"/>
            <w:vAlign w:val="top"/>
          </w:tcPr>
          <w:p>
            <w:pPr>
              <w:spacing w:after="20" w:line="240" w:lineRule="auto"/>
            </w:pPr>
            <w:r/>
            <w:r>
              <w:rPr>
                <w:rFonts w:ascii="Times New Roman" w:hAnsi="Times New Roman"/>
                <w:b w:val="0"/>
                <w:sz w:val="18"/>
              </w:rPr>
              <w:t>Kulturelle Skalierung</w:t>
            </w:r>
          </w:p>
        </w:tc>
        <w:tc>
          <w:tcPr>
            <w:tcW w:type="dxa" w:w="2296"/>
            <w:vAlign w:val="top"/>
          </w:tcPr>
          <w:p>
            <w:pPr>
              <w:spacing w:after="20" w:line="240" w:lineRule="auto"/>
            </w:pPr>
            <w:r/>
            <w:r>
              <w:rPr>
                <w:rFonts w:ascii="Times New Roman" w:hAnsi="Times New Roman"/>
                <w:b w:val="0"/>
                <w:sz w:val="18"/>
              </w:rPr>
              <w:t>Interpretation aus Belegkette</w:t>
            </w:r>
          </w:p>
        </w:tc>
        <w:tc>
          <w:tcPr>
            <w:tcW w:type="dxa" w:w="2296"/>
            <w:vAlign w:val="top"/>
          </w:tcPr>
          <w:p>
            <w:pPr>
              <w:spacing w:after="20" w:line="240" w:lineRule="auto"/>
            </w:pPr>
            <w:r/>
            <w:r>
              <w:rPr>
                <w:rFonts w:ascii="Times New Roman" w:hAnsi="Times New Roman"/>
                <w:b w:val="0"/>
                <w:sz w:val="18"/>
              </w:rPr>
              <w:t>Endthese: Bailey als Architekt kultureller Zugänglichkeit</w:t>
            </w:r>
          </w:p>
        </w:tc>
      </w:tr>
    </w:tbl>
    <w:p>
      <w:pPr>
        <w:pStyle w:val="Heading2"/>
        <w:keepNext/>
        <w:spacing w:before="180" w:after="120"/>
        <w:ind w:firstLine="0"/>
      </w:pPr>
      <w:r>
        <w:rPr>
          <w:rFonts w:ascii="Times New Roman" w:hAnsi="Times New Roman"/>
          <w:b/>
          <w:i w:val="0"/>
          <w:sz w:val="27"/>
        </w:rPr>
        <w:t>C. Formulierungsbausteine für die Druckfassung</w:t>
      </w:r>
    </w:p>
    <w:p>
      <w:pPr>
        <w:spacing w:after="40"/>
        <w:ind w:left="454" w:hanging="283"/>
      </w:pPr>
      <w:r>
        <w:rPr>
          <w:rFonts w:ascii="Times New Roman" w:hAnsi="Times New Roman"/>
          <w:sz w:val="22"/>
        </w:rPr>
        <w:t xml:space="preserve">1.  </w:t>
      </w:r>
      <w:r>
        <w:rPr>
          <w:rFonts w:ascii="Times New Roman" w:hAnsi="Times New Roman"/>
          <w:b w:val="0"/>
          <w:i w:val="0"/>
          <w:sz w:val="22"/>
        </w:rPr>
        <w:t>Bailey war eine zentrale Vermittlungsfigur der frühen amerikanischen Mainland-Ukulelenkultur.</w:t>
      </w:r>
    </w:p>
    <w:p>
      <w:pPr>
        <w:spacing w:after="40"/>
        <w:ind w:left="454" w:hanging="283"/>
      </w:pPr>
      <w:r>
        <w:rPr>
          <w:rFonts w:ascii="Times New Roman" w:hAnsi="Times New Roman"/>
          <w:sz w:val="22"/>
        </w:rPr>
        <w:t xml:space="preserve">2.  </w:t>
      </w:r>
      <w:r>
        <w:rPr>
          <w:rFonts w:ascii="Times New Roman" w:hAnsi="Times New Roman"/>
          <w:b w:val="0"/>
          <w:i w:val="0"/>
          <w:sz w:val="22"/>
        </w:rPr>
        <w:t>Seine Leistung bestand nicht in der Erfindung der Ukulele, sondern in ihrer methodischen, verlegerischen und sozialen Benutzbarmachung.</w:t>
      </w:r>
    </w:p>
    <w:p>
      <w:pPr>
        <w:spacing w:after="40"/>
        <w:ind w:left="454" w:hanging="283"/>
      </w:pPr>
      <w:r>
        <w:rPr>
          <w:rFonts w:ascii="Times New Roman" w:hAnsi="Times New Roman"/>
          <w:sz w:val="22"/>
        </w:rPr>
        <w:t xml:space="preserve">3.  </w:t>
      </w:r>
      <w:r>
        <w:rPr>
          <w:rFonts w:ascii="Times New Roman" w:hAnsi="Times New Roman"/>
          <w:b w:val="0"/>
          <w:i w:val="0"/>
          <w:sz w:val="22"/>
        </w:rPr>
        <w:t>Die Bailey-Methode war ein Leitmedium des frühen Ukulelen-Selbstunterrichts auf dem amerikanischen Festland.</w:t>
      </w:r>
    </w:p>
    <w:p>
      <w:pPr>
        <w:spacing w:after="40"/>
        <w:ind w:left="454" w:hanging="283"/>
      </w:pPr>
      <w:r>
        <w:rPr>
          <w:rFonts w:ascii="Times New Roman" w:hAnsi="Times New Roman"/>
          <w:sz w:val="22"/>
        </w:rPr>
        <w:t xml:space="preserve">4.  </w:t>
      </w:r>
      <w:r>
        <w:rPr>
          <w:rFonts w:ascii="Times New Roman" w:hAnsi="Times New Roman"/>
          <w:b w:val="0"/>
          <w:i w:val="0"/>
          <w:sz w:val="22"/>
        </w:rPr>
        <w:t>Sherman, Clay &amp; Co. stellte den institutionellen Verstärker bereit; Bailey lieferte das pädagogische und musikalische Format.</w:t>
      </w:r>
    </w:p>
    <w:p>
      <w:pPr>
        <w:spacing w:after="40"/>
        <w:ind w:left="454" w:hanging="283"/>
      </w:pPr>
      <w:r>
        <w:rPr>
          <w:rFonts w:ascii="Times New Roman" w:hAnsi="Times New Roman"/>
          <w:sz w:val="22"/>
        </w:rPr>
        <w:t xml:space="preserve">5.  </w:t>
      </w:r>
      <w:r>
        <w:rPr>
          <w:rFonts w:ascii="Times New Roman" w:hAnsi="Times New Roman"/>
          <w:b w:val="0"/>
          <w:i w:val="0"/>
          <w:sz w:val="22"/>
        </w:rPr>
        <w:t>Die Verbindung von Practical Method, Songs from Aloha Land und The Ukulele as a Solo Instrument bildet kein zufälliges Nebeneinander, sondern ein gestuftes Gebrauchssystem.</w:t>
      </w:r>
    </w:p>
    <w:p>
      <w:pPr>
        <w:spacing w:after="40"/>
        <w:ind w:left="454" w:hanging="283"/>
      </w:pPr>
      <w:r>
        <w:rPr>
          <w:rFonts w:ascii="Times New Roman" w:hAnsi="Times New Roman"/>
          <w:sz w:val="22"/>
        </w:rPr>
        <w:t xml:space="preserve">6.  </w:t>
      </w:r>
      <w:r>
        <w:rPr>
          <w:rFonts w:ascii="Times New Roman" w:hAnsi="Times New Roman"/>
          <w:b w:val="0"/>
          <w:i w:val="0"/>
          <w:sz w:val="22"/>
        </w:rPr>
        <w:t>Die 2-Millionen-Werbeaussage von 1925 ist als Marktquelle von erheblichem Gewicht: Sie dokumentiert, wie offensiv Sherman, Clay die Bailey-Methode als Massentitel positionierte.</w:t>
      </w:r>
    </w:p>
    <w:p>
      <w:pPr>
        <w:spacing w:after="40"/>
        <w:ind w:left="454" w:hanging="283"/>
      </w:pPr>
      <w:r>
        <w:rPr>
          <w:rFonts w:ascii="Times New Roman" w:hAnsi="Times New Roman"/>
          <w:sz w:val="22"/>
        </w:rPr>
        <w:t xml:space="preserve">7.  </w:t>
      </w:r>
      <w:r>
        <w:rPr>
          <w:rFonts w:ascii="Times New Roman" w:hAnsi="Times New Roman"/>
          <w:b w:val="0"/>
          <w:i w:val="0"/>
          <w:sz w:val="22"/>
        </w:rPr>
        <w:t>Bailey war ein Architekt kultureller Zugänglichkeit: Er machte musikalische Teilhabe für Amateure schnell erreichbar, wiederholbar und sozial verwendbar.</w:t>
      </w:r>
    </w:p>
    <w:p>
      <w:pPr>
        <w:pStyle w:val="Heading2"/>
        <w:keepNext/>
        <w:spacing w:before="180" w:after="120"/>
        <w:ind w:firstLine="0"/>
      </w:pPr>
      <w:r>
        <w:rPr>
          <w:rFonts w:ascii="Times New Roman" w:hAnsi="Times New Roman"/>
          <w:b/>
          <w:i w:val="0"/>
          <w:sz w:val="27"/>
        </w:rPr>
        <w:t>D. Arbeitsprogramm für die endgültige Druckfassung</w:t>
      </w:r>
    </w:p>
    <w:p>
      <w:pPr>
        <w:spacing w:after="40"/>
        <w:ind w:left="454" w:hanging="283"/>
      </w:pPr>
      <w:r>
        <w:rPr>
          <w:rFonts w:ascii="Times New Roman" w:hAnsi="Times New Roman"/>
          <w:sz w:val="22"/>
        </w:rPr>
        <w:t xml:space="preserve">1.  </w:t>
      </w:r>
      <w:r>
        <w:rPr>
          <w:rFonts w:ascii="Times New Roman" w:hAnsi="Times New Roman"/>
          <w:b w:val="0"/>
          <w:i w:val="0"/>
          <w:sz w:val="22"/>
        </w:rPr>
        <w:t>Alle erreichbaren Bailey-Ausgaben in einer Editionsliste erfassen: Titel, Imprint, Jahr, Umfang, Auflage, Stimmung, Notationsform, Fundort, Zustand.</w:t>
      </w:r>
    </w:p>
    <w:p>
      <w:pPr>
        <w:spacing w:after="40"/>
        <w:ind w:left="454" w:hanging="283"/>
      </w:pPr>
      <w:r>
        <w:rPr>
          <w:rFonts w:ascii="Times New Roman" w:hAnsi="Times New Roman"/>
          <w:sz w:val="22"/>
        </w:rPr>
        <w:t xml:space="preserve">2.  </w:t>
      </w:r>
      <w:r>
        <w:rPr>
          <w:rFonts w:ascii="Times New Roman" w:hAnsi="Times New Roman"/>
          <w:b w:val="0"/>
          <w:i w:val="0"/>
          <w:sz w:val="22"/>
        </w:rPr>
        <w:t>Die 51. Auflage im Besitz Fischers fotografisch dokumentieren und als materiellen Zentralbeleg behandeln.</w:t>
      </w:r>
    </w:p>
    <w:p>
      <w:pPr>
        <w:spacing w:after="40"/>
        <w:ind w:left="454" w:hanging="283"/>
      </w:pPr>
      <w:r>
        <w:rPr>
          <w:rFonts w:ascii="Times New Roman" w:hAnsi="Times New Roman"/>
          <w:sz w:val="22"/>
        </w:rPr>
        <w:t xml:space="preserve">3.  </w:t>
      </w:r>
      <w:r>
        <w:rPr>
          <w:rFonts w:ascii="Times New Roman" w:hAnsi="Times New Roman"/>
          <w:b w:val="0"/>
          <w:i w:val="0"/>
          <w:sz w:val="22"/>
        </w:rPr>
        <w:t>Zeitgenössische Anzeigen chronologisch auswerten, besonders 1914 bis 1925 und insbesondere die 2-Millionen-Werbung.</w:t>
      </w:r>
    </w:p>
    <w:p>
      <w:pPr>
        <w:spacing w:after="40"/>
        <w:ind w:left="454" w:hanging="283"/>
      </w:pPr>
      <w:r>
        <w:rPr>
          <w:rFonts w:ascii="Times New Roman" w:hAnsi="Times New Roman"/>
          <w:sz w:val="22"/>
        </w:rPr>
        <w:t xml:space="preserve">4.  </w:t>
      </w:r>
      <w:r>
        <w:rPr>
          <w:rFonts w:ascii="Times New Roman" w:hAnsi="Times New Roman"/>
          <w:b w:val="0"/>
          <w:i w:val="0"/>
          <w:sz w:val="22"/>
        </w:rPr>
        <w:t>Sherman-Clay-Imprints mit Plaza, Lyon &amp; Healy und weiteren Vertriebsspuren vergleichen.</w:t>
      </w:r>
    </w:p>
    <w:p>
      <w:pPr>
        <w:spacing w:after="40"/>
        <w:ind w:left="454" w:hanging="283"/>
      </w:pPr>
      <w:r>
        <w:rPr>
          <w:rFonts w:ascii="Times New Roman" w:hAnsi="Times New Roman"/>
          <w:sz w:val="22"/>
        </w:rPr>
        <w:t xml:space="preserve">5.  </w:t>
      </w:r>
      <w:r>
        <w:rPr>
          <w:rFonts w:ascii="Times New Roman" w:hAnsi="Times New Roman"/>
          <w:b w:val="0"/>
          <w:i w:val="0"/>
          <w:sz w:val="22"/>
        </w:rPr>
        <w:t>Vergleichskapitel zu Kaʻai, Kealakai, Kia, Santos/Nunes, Moyer und Bickford einfügen, um Baileys Systemcharakter noch schärfer herauszuarbeiten.</w:t>
      </w:r>
    </w:p>
    <w:p>
      <w:pPr>
        <w:spacing w:after="40"/>
        <w:ind w:left="454" w:hanging="283"/>
      </w:pPr>
      <w:r>
        <w:rPr>
          <w:rFonts w:ascii="Times New Roman" w:hAnsi="Times New Roman"/>
          <w:sz w:val="22"/>
        </w:rPr>
        <w:t xml:space="preserve">6.  </w:t>
      </w:r>
      <w:r>
        <w:rPr>
          <w:rFonts w:ascii="Times New Roman" w:hAnsi="Times New Roman"/>
          <w:b w:val="0"/>
          <w:i w:val="0"/>
          <w:sz w:val="22"/>
        </w:rPr>
        <w:t>Abbildungen der Originaldrucke mit Bildunterschriften und Quellenangaben einbauen.</w:t>
      </w:r>
    </w:p>
    <w:p>
      <w:pPr>
        <w:spacing w:after="40"/>
        <w:ind w:left="454" w:hanging="283"/>
      </w:pPr>
      <w:r>
        <w:rPr>
          <w:rFonts w:ascii="Times New Roman" w:hAnsi="Times New Roman"/>
          <w:sz w:val="22"/>
        </w:rPr>
        <w:t xml:space="preserve">7.  </w:t>
      </w:r>
      <w:r>
        <w:rPr>
          <w:rFonts w:ascii="Times New Roman" w:hAnsi="Times New Roman"/>
          <w:b w:val="0"/>
          <w:i w:val="0"/>
          <w:sz w:val="22"/>
        </w:rPr>
        <w:t>Ein separates Dokumentationskapitel zu Baileys Biografie, Patentspuren und Adressen anlegen, damit Werkgeschichte und Lebensrekonstruktion nicht vermischt werden.</w:t>
      </w:r>
    </w:p>
    <w:p>
      <w:pPr>
        <w:pStyle w:val="Heading2"/>
        <w:keepNext/>
        <w:spacing w:before="180" w:after="120"/>
        <w:ind w:firstLine="0"/>
      </w:pPr>
      <w:r>
        <w:rPr>
          <w:rFonts w:ascii="Times New Roman" w:hAnsi="Times New Roman"/>
          <w:b/>
          <w:i w:val="0"/>
          <w:sz w:val="27"/>
        </w:rPr>
        <w:t>E. Anmerkungen und Quellen</w:t>
      </w:r>
    </w:p>
    <w:p>
      <w:pPr>
        <w:spacing w:after="80"/>
        <w:ind w:hanging="340" w:left="340"/>
      </w:pPr>
      <w:r>
        <w:rPr>
          <w:rFonts w:ascii="Times New Roman" w:hAnsi="Times New Roman"/>
          <w:b/>
          <w:sz w:val="21"/>
        </w:rPr>
        <w:t xml:space="preserve">1. </w:t>
      </w:r>
      <w:r>
        <w:rPr>
          <w:rFonts w:ascii="Times New Roman" w:hAnsi="Times New Roman"/>
          <w:sz w:val="21"/>
        </w:rPr>
        <w:t>Google Books, bibliografischer Datensatz zu N. B. Bailey, A Practical Method for Self-Instruction on the Ukulele, Sherman, Clay &amp; Company, 1914, 38 Seiten; dort als „Edition 20“ ausgewiesen. Abruf: 7. Juli 2026.</w:t>
      </w:r>
    </w:p>
    <w:p>
      <w:pPr>
        <w:spacing w:after="80"/>
        <w:ind w:hanging="340" w:left="340"/>
      </w:pPr>
      <w:r>
        <w:rPr>
          <w:rFonts w:ascii="Times New Roman" w:hAnsi="Times New Roman"/>
          <w:b/>
          <w:sz w:val="21"/>
        </w:rPr>
        <w:t xml:space="preserve">2. </w:t>
      </w:r>
      <w:r>
        <w:rPr>
          <w:rFonts w:ascii="Times New Roman" w:hAnsi="Times New Roman"/>
          <w:sz w:val="21"/>
        </w:rPr>
        <w:t>Ukuleles.com / Ukuleles by Kawika, „Vintage Ukulele Instruction Manuals“: Einträge zu Bailey, N. B. (1914), Practical Method, Sherman, Clay &amp; Co.; Plaza Music Co.; Bailey (1916), Songs from Aloha Land; Bailey (1916), The Ukulele as a Solo Instrument; Bailey and Awaii, Keoki E. (1916), Ukulele Solos, 71 Seiten. Abruf: 7. Juli 2026.</w:t>
      </w:r>
    </w:p>
    <w:p>
      <w:pPr>
        <w:spacing w:after="80"/>
        <w:ind w:hanging="340" w:left="340"/>
      </w:pPr>
      <w:r>
        <w:rPr>
          <w:rFonts w:ascii="Times New Roman" w:hAnsi="Times New Roman"/>
          <w:b/>
          <w:sz w:val="21"/>
        </w:rPr>
        <w:t xml:space="preserve">3. </w:t>
      </w:r>
      <w:r>
        <w:rPr>
          <w:rFonts w:ascii="Times New Roman" w:hAnsi="Times New Roman"/>
          <w:sz w:val="21"/>
        </w:rPr>
        <w:t>University of Hawaiʻi, Hawaiian Acquisitions List: Bailey, N. B., Songs from Aloha Land: A Collection of Hawaiian Songs with Ukulele Accompaniment, San Francisco: Sherman Clay, c1916, 94 p. of music. Ergänzend: Ukuleles.com und Tranquada/King-Nachweise.</w:t>
      </w:r>
    </w:p>
    <w:p>
      <w:pPr>
        <w:spacing w:after="80"/>
        <w:ind w:hanging="340" w:left="340"/>
      </w:pPr>
      <w:r>
        <w:rPr>
          <w:rFonts w:ascii="Times New Roman" w:hAnsi="Times New Roman"/>
          <w:b/>
          <w:sz w:val="21"/>
        </w:rPr>
        <w:t xml:space="preserve">4. </w:t>
      </w:r>
      <w:r>
        <w:rPr>
          <w:rFonts w:ascii="Times New Roman" w:hAnsi="Times New Roman"/>
          <w:sz w:val="21"/>
        </w:rPr>
        <w:t>Jim Tranquada / John King, The Ukulele: A History, Appendix B, sowie bibliografische Folgeangaben: N. B. Bailey und Keoki E. Awai, The Ukulele as a Solo Instrument, San Francisco: Sherman, Clay &amp; Co., 1916, 71 Seiten, Standardnotation, Akkorddiagramme und italienische Tabulatur; C- und D-Stimmung nachgewiesen.</w:t>
      </w:r>
    </w:p>
    <w:p>
      <w:pPr>
        <w:spacing w:after="80"/>
        <w:ind w:hanging="340" w:left="340"/>
      </w:pPr>
      <w:r>
        <w:rPr>
          <w:rFonts w:ascii="Times New Roman" w:hAnsi="Times New Roman"/>
          <w:b/>
          <w:sz w:val="21"/>
        </w:rPr>
        <w:t xml:space="preserve">5. </w:t>
      </w:r>
      <w:r>
        <w:rPr>
          <w:rFonts w:ascii="Times New Roman" w:hAnsi="Times New Roman"/>
          <w:sz w:val="21"/>
        </w:rPr>
        <w:t>Jim Tranquada, „The Invention of the Ukulele“, in: Research Paths in the Ukulele, Milano University Press, 2024, S. 23-24: Bailey und Moyer als „two most popular early methods published by mainland musicians“; außerdem Hinweis, dass Sherman, Clay im Juni 1925 Verkäufe von 2 Millionen Exemplaren für Baileys Methode beanspruchte.</w:t>
      </w:r>
    </w:p>
    <w:p>
      <w:pPr>
        <w:spacing w:after="80"/>
        <w:ind w:hanging="340" w:left="340"/>
      </w:pPr>
      <w:r>
        <w:rPr>
          <w:rFonts w:ascii="Times New Roman" w:hAnsi="Times New Roman"/>
          <w:b/>
          <w:sz w:val="21"/>
        </w:rPr>
        <w:t xml:space="preserve">6. </w:t>
      </w:r>
      <w:r>
        <w:rPr>
          <w:rFonts w:ascii="Times New Roman" w:hAnsi="Times New Roman"/>
          <w:sz w:val="21"/>
        </w:rPr>
        <w:t>Ukulele Magazine, „The Spark that Started the First Ukulele Craze in 1915“, 19. Februar 2015: Darstellung der Panama-Pacific International Exposition als musikalisch zentralem Ereignis; Hinweis auf Philip T. Clay von Sherman, Clay &amp; Co. und die groß dimensionierte Musikprogrammierung der Ausstellung.</w:t>
      </w:r>
    </w:p>
    <w:p>
      <w:pPr>
        <w:spacing w:after="80"/>
        <w:ind w:hanging="340" w:left="340"/>
      </w:pPr>
      <w:r>
        <w:rPr>
          <w:rFonts w:ascii="Times New Roman" w:hAnsi="Times New Roman"/>
          <w:b/>
          <w:sz w:val="21"/>
        </w:rPr>
        <w:t xml:space="preserve">7. </w:t>
      </w:r>
      <w:r>
        <w:rPr>
          <w:rFonts w:ascii="Times New Roman" w:hAnsi="Times New Roman"/>
          <w:sz w:val="21"/>
        </w:rPr>
        <w:t>Andreas Fischer, eigene Sammlungs-, Editions- und Forschungsunterlagen zu N. B. Bailey, Sherman, Clay &amp; Co., frühen Ukulelenmethoden, Imprints und Auflagenfragen; insbesondere die 51. Auflage als materieller Befund der Bailey-Methode.</w:t>
      </w:r>
    </w:p>
    <w:p>
      <w:pPr>
        <w:pStyle w:val="Heading2"/>
        <w:keepNext/>
        <w:spacing w:before="180" w:after="120"/>
        <w:ind w:firstLine="0"/>
      </w:pPr>
      <w:r>
        <w:rPr>
          <w:rFonts w:ascii="Times New Roman" w:hAnsi="Times New Roman"/>
          <w:b/>
          <w:i w:val="0"/>
          <w:sz w:val="27"/>
        </w:rPr>
        <w:t>Literatur und Arbeitsquellen</w:t>
      </w:r>
    </w:p>
    <w:p>
      <w:pPr>
        <w:spacing w:after="60"/>
        <w:ind w:left="340" w:hanging="340"/>
      </w:pPr>
      <w:r>
        <w:rPr>
          <w:rFonts w:ascii="Times New Roman" w:hAnsi="Times New Roman"/>
          <w:b w:val="0"/>
          <w:i w:val="0"/>
          <w:sz w:val="21"/>
        </w:rPr>
        <w:t>Bailey, N. B. A Practical Method for Self-Instruction on the Ukulele. San Francisco: Sherman, Clay &amp; Co., 1914.</w:t>
      </w:r>
    </w:p>
    <w:p>
      <w:pPr>
        <w:spacing w:after="60"/>
        <w:ind w:left="340" w:hanging="340"/>
      </w:pPr>
      <w:r>
        <w:rPr>
          <w:rFonts w:ascii="Times New Roman" w:hAnsi="Times New Roman"/>
          <w:b w:val="0"/>
          <w:i w:val="0"/>
          <w:sz w:val="21"/>
        </w:rPr>
        <w:t>Bailey, N. B., arr. Songs from Aloha Land: A Collection of Hawaiian Songs with Ukulele Accompaniment. San Francisco: Sherman, Clay &amp; Co., 1916.</w:t>
      </w:r>
    </w:p>
    <w:p>
      <w:pPr>
        <w:spacing w:after="60"/>
        <w:ind w:left="340" w:hanging="340"/>
      </w:pPr>
      <w:r>
        <w:rPr>
          <w:rFonts w:ascii="Times New Roman" w:hAnsi="Times New Roman"/>
          <w:b w:val="0"/>
          <w:i w:val="0"/>
          <w:sz w:val="21"/>
        </w:rPr>
        <w:t>Bailey, N. B., and Keoki E. Awai. The Ukulele as a Solo Instrument: A Collection of Ukulele Solos with Full Instructions for Playing. San Francisco: Sherman, Clay &amp; Co., 1916.</w:t>
      </w:r>
    </w:p>
    <w:p>
      <w:pPr>
        <w:spacing w:after="60"/>
        <w:ind w:left="340" w:hanging="340"/>
      </w:pPr>
      <w:r>
        <w:rPr>
          <w:rFonts w:ascii="Times New Roman" w:hAnsi="Times New Roman"/>
          <w:b w:val="0"/>
          <w:i w:val="0"/>
          <w:sz w:val="21"/>
        </w:rPr>
        <w:t>Fischer, Andreas. Verkaufszahlen von Ukulelenmethoden. Books on Demand.</w:t>
      </w:r>
    </w:p>
    <w:p>
      <w:pPr>
        <w:spacing w:after="60"/>
        <w:ind w:left="340" w:hanging="340"/>
      </w:pPr>
      <w:r>
        <w:rPr>
          <w:rFonts w:ascii="Times New Roman" w:hAnsi="Times New Roman"/>
          <w:b w:val="0"/>
          <w:i w:val="0"/>
          <w:sz w:val="21"/>
        </w:rPr>
        <w:t>Fischer, Andreas. Der Ukulele-Boom auf dem amerikanischen Festland (1906 bis 1916) und N. B. Bailey. Books on Demand.</w:t>
      </w:r>
    </w:p>
    <w:p>
      <w:pPr>
        <w:spacing w:after="60"/>
        <w:ind w:left="340" w:hanging="340"/>
      </w:pPr>
      <w:r>
        <w:rPr>
          <w:rFonts w:ascii="Times New Roman" w:hAnsi="Times New Roman"/>
          <w:b w:val="0"/>
          <w:i w:val="0"/>
          <w:sz w:val="21"/>
        </w:rPr>
        <w:t>Fischer, Andreas. Eigene Sammlungs- und Forschungsunterlagen zu N. B. Bailey, Sherman, Clay &amp; Co., frühen Ukulelenmethoden, Imprints und Auflagenfragen.</w:t>
      </w:r>
    </w:p>
    <w:p>
      <w:pPr>
        <w:spacing w:after="60"/>
        <w:ind w:left="340" w:hanging="340"/>
      </w:pPr>
      <w:r>
        <w:rPr>
          <w:rFonts w:ascii="Times New Roman" w:hAnsi="Times New Roman"/>
          <w:b w:val="0"/>
          <w:i w:val="0"/>
          <w:sz w:val="21"/>
        </w:rPr>
        <w:t>Tranquada, Jim, and John King. The Ukulele: A History. Honolulu: University of Hawaiʻi Press, 2012.</w:t>
      </w:r>
    </w:p>
    <w:p>
      <w:pPr>
        <w:spacing w:after="60"/>
        <w:ind w:left="340" w:hanging="340"/>
      </w:pPr>
      <w:r>
        <w:rPr>
          <w:rFonts w:ascii="Times New Roman" w:hAnsi="Times New Roman"/>
          <w:b w:val="0"/>
          <w:i w:val="0"/>
          <w:sz w:val="21"/>
        </w:rPr>
        <w:t>Tranquada, Jim. „The Invention of the Ukulele.“ In Research Paths in the Ukulele. Milano University Press, 2024.</w:t>
      </w:r>
    </w:p>
    <w:p>
      <w:pPr>
        <w:spacing w:after="60"/>
        <w:ind w:left="340" w:hanging="340"/>
      </w:pPr>
      <w:r>
        <w:rPr>
          <w:rFonts w:ascii="Times New Roman" w:hAnsi="Times New Roman"/>
          <w:b w:val="0"/>
          <w:i w:val="0"/>
          <w:sz w:val="21"/>
        </w:rPr>
        <w:t>Jasen, David A. Tin Pan Alley: An Encyclopedia of the Golden Age of American Song. New York: Routledge, 1988.</w:t>
      </w:r>
    </w:p>
    <w:p>
      <w:pPr>
        <w:spacing w:after="60"/>
        <w:ind w:left="340" w:hanging="340"/>
      </w:pPr>
      <w:r>
        <w:rPr>
          <w:rFonts w:ascii="Times New Roman" w:hAnsi="Times New Roman"/>
          <w:b w:val="0"/>
          <w:i w:val="0"/>
          <w:sz w:val="21"/>
        </w:rPr>
        <w:t>Pleijsier, Hubert. Washburn Prewar Instrument Styles. Centerstream / Hal Leonard.</w:t>
      </w:r>
    </w:p>
    <w:p>
      <w:pPr>
        <w:spacing w:after="60"/>
        <w:ind w:left="340" w:hanging="340"/>
      </w:pPr>
      <w:r>
        <w:rPr>
          <w:rFonts w:ascii="Times New Roman" w:hAnsi="Times New Roman"/>
          <w:b w:val="0"/>
          <w:i w:val="0"/>
          <w:sz w:val="21"/>
        </w:rPr>
        <w:t>University of Hawaiʻi, Hawaiian Collection / Hawaiian Acquisitions List: bibliografischer Nachweis zu Songs from Aloha Land.</w:t>
      </w:r>
    </w:p>
    <w:p>
      <w:pPr>
        <w:spacing w:after="60"/>
        <w:ind w:left="340" w:hanging="340"/>
      </w:pPr>
      <w:r>
        <w:rPr>
          <w:rFonts w:ascii="Times New Roman" w:hAnsi="Times New Roman"/>
          <w:b w:val="0"/>
          <w:i w:val="0"/>
          <w:sz w:val="21"/>
        </w:rPr>
        <w:t>Google Books: bibliografischer Nachweis zu A Practical Method for Self-Instruction on the Ukulele.</w:t>
      </w:r>
    </w:p>
    <w:p>
      <w:pPr>
        <w:spacing w:after="60"/>
        <w:ind w:left="340" w:hanging="340"/>
      </w:pPr>
      <w:r>
        <w:rPr>
          <w:rFonts w:ascii="Times New Roman" w:hAnsi="Times New Roman"/>
          <w:b w:val="0"/>
          <w:i w:val="0"/>
          <w:sz w:val="21"/>
        </w:rPr>
        <w:t>Ukuleles.com / Ukuleles by Kawika: Vintage Ukulele Instruction Manuals.</w:t>
      </w:r>
    </w:p>
    <w:sectPr w:rsidR="00FC693F" w:rsidRPr="0006063C" w:rsidSect="00034616">
      <w:footerReference w:type="default" r:id="rId9"/>
      <w:pgSz w:w="11906" w:h="16838"/>
      <w:pgMar w:top="1247" w:right="1361" w:bottom="1134" w:left="1361" w:header="72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Times New Roman" w:hAnsi="Times New Roman" w:eastAsia="Times New Roman"/>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000000"/>
      <w:sz w:val="2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000000"/>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