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720"/>
        <w:jc w:val="center"/>
      </w:pPr>
      <w:r>
        <w:rPr>
          <w:rFonts w:ascii="Garamond" w:hAnsi="Garamond"/>
          <w:b/>
          <w:sz w:val="48"/>
        </w:rPr>
        <w:t>Nelson Burdette Bailey</w:t>
        <w:br/>
        <w:t>Addie M Mentzer Bailey</w:t>
        <w:br/>
        <w:t>und Maude Burrell Watson Bailey</w:t>
      </w:r>
    </w:p>
    <w:p>
      <w:pPr>
        <w:pStyle w:val="Subtitle"/>
        <w:spacing w:before="280"/>
        <w:jc w:val="center"/>
      </w:pPr>
      <w:r>
        <w:rPr>
          <w:rFonts w:ascii="Garamond" w:hAnsi="Garamond"/>
          <w:i/>
          <w:color w:val="414141"/>
          <w:sz w:val="28"/>
        </w:rPr>
        <w:t>Gemeinsame quellenkritische Biografie und zeitgeschichtliche Einordnung</w:t>
      </w:r>
    </w:p>
    <w:p>
      <w:pPr>
        <w:spacing w:before="2400"/>
        <w:jc w:val="center"/>
      </w:pPr>
      <w:r>
        <w:rPr>
          <w:rFonts w:ascii="Garamond" w:hAnsi="Garamond"/>
          <w:sz w:val="26"/>
        </w:rPr>
        <w:t>Andreas Fischer</w:t>
      </w:r>
    </w:p>
    <w:p>
      <w:pPr>
        <w:jc w:val="center"/>
      </w:pPr>
      <w:r>
        <w:rPr>
          <w:rFonts w:ascii="Garamond" w:hAnsi="Garamond"/>
          <w:color w:val="505050"/>
          <w:sz w:val="22"/>
        </w:rPr>
        <w:t>Forschungsstand 23. September 2026</w:t>
      </w:r>
    </w:p>
    <w:p>
      <w:r>
        <w:br w:type="page"/>
      </w:r>
    </w:p>
    <w:p>
      <w:pPr>
        <w:pStyle w:val="Heading1"/>
        <w:keepNext/>
      </w:pPr>
      <w:r>
        <w:rPr>
          <w:rFonts w:ascii="Garamond" w:hAnsi="Garamond"/>
          <w:b/>
          <w:color w:val="000000"/>
          <w:sz w:val="32"/>
        </w:rPr>
        <w:t>Einleitung</w:t>
      </w:r>
    </w:p>
    <w:p>
      <w:pPr>
        <w:keepNext w:val="0"/>
        <w:spacing w:line="360" w:lineRule="auto" w:after="140"/>
        <w:jc w:val="both"/>
      </w:pPr>
      <w:r>
        <w:rPr>
          <w:rFonts w:ascii="Garamond" w:hAnsi="Garamond"/>
          <w:sz w:val="24"/>
        </w:rPr>
        <w:t>Diese gemeinsame Biografie erzählt nicht nur das Leben Nelson Burdette Baileys, sondern stellt erstmals auch Addie M. Mentzer Bailey und Maude Burrell Watson Bailey als eigenständige historische Personen neben ihn. Die drei Lebensläufe berühren sich in zwei Ehen, in der Wanderung von Ohio nach Kalifornien und in einer Zeit, in der sich städtisches Leben, Frauenrechte, Musikhandel und Massenkultur tiefgreifend veränderten. Der Quellenbestand ist allerdings ungleich verteilt: Nelson ist durch Werke, Patente, Adressbücher und Fachpresse vergleichsweise gut sichtbar; Addie und Maude erscheinen vor allem in Personenstandsunterlagen, Volkszählungen und Adressbüchern. Diese Asymmetrie ist selbst Teil ihrer Geschichte.</w:t>
      </w:r>
    </w:p>
    <w:p>
      <w:pPr>
        <w:keepNext w:val="0"/>
        <w:spacing w:line="360" w:lineRule="auto" w:after="140"/>
        <w:jc w:val="both"/>
      </w:pPr>
      <w:r>
        <w:rPr>
          <w:rFonts w:ascii="Garamond" w:hAnsi="Garamond"/>
          <w:sz w:val="24"/>
        </w:rPr>
        <w:t>Die belastbarsten Eckdaten sind die Heirat Nelsons mit Addie M. Mentzer am 31. August 1904 in Mahoning County, Ohio, die seit 1918 belegbaren getrennten San-Francisco-Anschriften und die zweite Heirat mit der verwitweten Maude Burrell Watson am 6. November 1921 in San Francisco. Beim Tod Nelsons am 23. Juli 1948 in Santa Rosa wurde Maude weiterhin als seine Ehefrau genannt. Addie blieb dagegen noch jahrzehntelang in San Francisco nachweisbar und erscheint letztmals 1971 unter ihrer langjährigen Anschrift 685 Geary, Apartment 305.</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088"/>
        <w:gridCol w:w="7560"/>
      </w:tblGrid>
      <w:tr>
        <w:trPr>
          <w:tblHeader w:val="true"/>
        </w:trPr>
        <w:tc>
          <w:tcPr>
            <w:tcW w:type="dxa" w:w="4896"/>
            <w:tcMar>
              <w:top w:w="90" w:type="dxa"/>
              <w:start w:w="110" w:type="dxa"/>
              <w:bottom w:w="90" w:type="dxa"/>
              <w:end w:w="110" w:type="dxa"/>
            </w:tcMar>
            <w:vAlign w:val="center"/>
            <w:shd w:fill="DCE6F1"/>
          </w:tcPr>
          <w:p>
            <w:pPr>
              <w:spacing w:after="0"/>
            </w:pPr>
            <w:r>
              <w:rPr>
                <w:rFonts w:ascii="Garamond" w:hAnsi="Garamond"/>
                <w:b/>
                <w:sz w:val="21"/>
              </w:rPr>
              <w:t>Leseschlüssel</w:t>
            </w:r>
          </w:p>
        </w:tc>
        <w:tc>
          <w:tcPr>
            <w:tcW w:type="dxa" w:w="4896"/>
            <w:tcMar>
              <w:top w:w="90" w:type="dxa"/>
              <w:start w:w="110" w:type="dxa"/>
              <w:bottom w:w="90" w:type="dxa"/>
              <w:end w:w="110" w:type="dxa"/>
            </w:tcMar>
            <w:vAlign w:val="center"/>
            <w:shd w:fill="DCE6F1"/>
          </w:tcPr>
          <w:p>
            <w:pPr>
              <w:spacing w:after="0"/>
            </w:pPr>
            <w:r>
              <w:rPr>
                <w:rFonts w:ascii="Garamond" w:hAnsi="Garamond"/>
                <w:b/>
                <w:sz w:val="21"/>
              </w:rPr>
              <w:t>Bedeutung im Text</w:t>
            </w:r>
          </w:p>
        </w:tc>
      </w:tr>
      <w:tr>
        <w:tc>
          <w:tcPr>
            <w:tcW w:type="dxa" w:w="4896"/>
            <w:tcMar>
              <w:top w:w="90" w:type="dxa"/>
              <w:start w:w="110" w:type="dxa"/>
              <w:bottom w:w="90" w:type="dxa"/>
              <w:end w:w="110" w:type="dxa"/>
            </w:tcMar>
            <w:vAlign w:val="center"/>
          </w:tcPr>
          <w:p>
            <w:pPr>
              <w:spacing w:after="0"/>
            </w:pPr>
            <w:r>
              <w:rPr>
                <w:rFonts w:ascii="Garamond" w:hAnsi="Garamond"/>
                <w:b/>
                <w:sz w:val="21"/>
              </w:rPr>
              <w:t>Gesichert</w:t>
            </w:r>
          </w:p>
        </w:tc>
        <w:tc>
          <w:tcPr>
            <w:tcW w:type="dxa" w:w="4896"/>
            <w:tcMar>
              <w:top w:w="90" w:type="dxa"/>
              <w:start w:w="110" w:type="dxa"/>
              <w:bottom w:w="90" w:type="dxa"/>
              <w:end w:w="110" w:type="dxa"/>
            </w:tcMar>
            <w:vAlign w:val="center"/>
          </w:tcPr>
          <w:p>
            <w:pPr>
              <w:spacing w:after="0"/>
            </w:pPr>
            <w:r>
              <w:rPr>
                <w:rFonts w:ascii="Garamond" w:hAnsi="Garamond"/>
                <w:b w:val="0"/>
                <w:sz w:val="21"/>
              </w:rPr>
              <w:t>Direkter oder zeitnaher Beleg trägt die Aussage innerhalb klarer Grenzen.</w:t>
            </w:r>
          </w:p>
        </w:tc>
      </w:tr>
      <w:tr>
        <w:tc>
          <w:tcPr>
            <w:tcW w:type="dxa" w:w="4896"/>
            <w:tcMar>
              <w:top w:w="90" w:type="dxa"/>
              <w:start w:w="110" w:type="dxa"/>
              <w:bottom w:w="90" w:type="dxa"/>
              <w:end w:w="110" w:type="dxa"/>
            </w:tcMar>
            <w:vAlign w:val="center"/>
            <w:shd w:fill="F7F9FC"/>
          </w:tcPr>
          <w:p>
            <w:pPr>
              <w:spacing w:after="0"/>
            </w:pPr>
            <w:r>
              <w:rPr>
                <w:rFonts w:ascii="Garamond" w:hAnsi="Garamond"/>
                <w:b/>
                <w:sz w:val="21"/>
              </w:rPr>
              <w:t>Wahrscheinlich</w:t>
            </w:r>
          </w:p>
        </w:tc>
        <w:tc>
          <w:tcPr>
            <w:tcW w:type="dxa" w:w="4896"/>
            <w:tcMar>
              <w:top w:w="90" w:type="dxa"/>
              <w:start w:w="110" w:type="dxa"/>
              <w:bottom w:w="90" w:type="dxa"/>
              <w:end w:w="110" w:type="dxa"/>
            </w:tcMar>
            <w:vAlign w:val="center"/>
            <w:shd w:fill="F7F9FC"/>
          </w:tcPr>
          <w:p>
            <w:pPr>
              <w:spacing w:after="0"/>
            </w:pPr>
            <w:r>
              <w:rPr>
                <w:rFonts w:ascii="Garamond" w:hAnsi="Garamond"/>
                <w:b w:val="0"/>
                <w:sz w:val="21"/>
              </w:rPr>
              <w:t>Mehrere Indizien passen zusammen, ein unmittelbarer Beweis fehlt aber.</w:t>
            </w:r>
          </w:p>
        </w:tc>
      </w:tr>
      <w:tr>
        <w:tc>
          <w:tcPr>
            <w:tcW w:type="dxa" w:w="4896"/>
            <w:tcMar>
              <w:top w:w="90" w:type="dxa"/>
              <w:start w:w="110" w:type="dxa"/>
              <w:bottom w:w="90" w:type="dxa"/>
              <w:end w:w="110" w:type="dxa"/>
            </w:tcMar>
            <w:vAlign w:val="center"/>
          </w:tcPr>
          <w:p>
            <w:pPr>
              <w:spacing w:after="0"/>
            </w:pPr>
            <w:r>
              <w:rPr>
                <w:rFonts w:ascii="Garamond" w:hAnsi="Garamond"/>
                <w:b/>
                <w:sz w:val="21"/>
              </w:rPr>
              <w:t>Offen</w:t>
            </w:r>
          </w:p>
        </w:tc>
        <w:tc>
          <w:tcPr>
            <w:tcW w:type="dxa" w:w="4896"/>
            <w:tcMar>
              <w:top w:w="90" w:type="dxa"/>
              <w:start w:w="110" w:type="dxa"/>
              <w:bottom w:w="90" w:type="dxa"/>
              <w:end w:w="110" w:type="dxa"/>
            </w:tcMar>
            <w:vAlign w:val="center"/>
          </w:tcPr>
          <w:p>
            <w:pPr>
              <w:spacing w:after="0"/>
            </w:pPr>
            <w:r>
              <w:rPr>
                <w:rFonts w:ascii="Garamond" w:hAnsi="Garamond"/>
                <w:b w:val="0"/>
                <w:sz w:val="21"/>
              </w:rPr>
              <w:t>Die Quelle fehlt, ist widersprüchlich oder erlaubt keine eindeutige Zuordnung.</w:t>
            </w:r>
          </w:p>
        </w:tc>
      </w:tr>
    </w:tbl>
    <w:p>
      <w:pPr>
        <w:pStyle w:val="Heading1"/>
        <w:keepNext/>
      </w:pPr>
      <w:r>
        <w:rPr>
          <w:rFonts w:ascii="Garamond" w:hAnsi="Garamond"/>
          <w:b/>
          <w:color w:val="000000"/>
          <w:sz w:val="32"/>
        </w:rPr>
        <w:t>1 Herkunft und frühe Lebenswelt in Ohio</w:t>
      </w:r>
    </w:p>
    <w:p>
      <w:pPr>
        <w:pStyle w:val="Heading2"/>
        <w:keepNext/>
      </w:pPr>
      <w:r>
        <w:rPr>
          <w:rFonts w:ascii="Garamond" w:hAnsi="Garamond"/>
          <w:b/>
          <w:color w:val="000000"/>
          <w:sz w:val="26"/>
        </w:rPr>
        <w:t>Nelson Burdette Bailey</w:t>
      </w:r>
    </w:p>
    <w:p>
      <w:pPr>
        <w:keepNext w:val="0"/>
        <w:spacing w:line="360" w:lineRule="auto" w:after="140"/>
        <w:jc w:val="both"/>
      </w:pPr>
      <w:r>
        <w:rPr>
          <w:rFonts w:ascii="Garamond" w:hAnsi="Garamond"/>
          <w:sz w:val="24"/>
        </w:rPr>
        <w:t>Nelson Burdette Bailey wurde nach dem heute maßgeblichen genealogischen Quellenindex am 20. Juli 1874 in Gustavus, Trumbull County, Ohio, geboren. Als Eltern werden Nelson Homer Bailey und Elmira Minnie Roberts genannt. Eine 1909 veröffentlichte Geschichte des Trumbull County bestätigt die Familie, nennt seine Schwester Frances C. und bezeichnet Addie Mentzer als seine Ehefrau. Bei der genauen Tagesangabe der Geburt besteht allerdings ein kleiner Quellenkonflikt: Die maschinenlesbare Textschicht der Ausgabe von 1909 gibt den 2. Juli wieder, während der Geburtsindex den 20. Juli nennt. Bis das Originalbild des Geburtsregisters abschließend geprüft ist, sollte der 20. Juli verwendet, der Widerspruch aber dokumentiert werden.</w:t>
      </w:r>
      <w:r>
        <w:footnoteReference w:id="1"/>
      </w:r>
    </w:p>
    <w:p>
      <w:pPr>
        <w:keepNext w:val="0"/>
        <w:spacing w:line="360" w:lineRule="auto" w:after="140"/>
        <w:jc w:val="both"/>
      </w:pPr>
      <w:r>
        <w:rPr>
          <w:rFonts w:ascii="Garamond" w:hAnsi="Garamond"/>
          <w:sz w:val="24"/>
        </w:rPr>
        <w:t>Nelson wuchs in einer Region auf, die sich im letzten Drittel des 19. Jahrhunderts von einer ländlich geprägten Gegend zu einem bedeutenden Industriezentrum wandelte. Das Mahoning Valley wechselte um die Jahrhundertwende von der Eisen- zur Stahlproduktion; große integrierte Werke prägten Wirtschaft, Zuwanderung und Stadtwachstum. Diese Umgebung erklärt nicht unmittelbar Baileys spätere Musiktätigkeit, bildet aber den sozialen Hintergrund seiner Jugend: technische Modernisierung, handwerkliche Praxis, wachsende Städte und eine neue Arbeitswelt gehörten zum Alltag der Region.</w:t>
      </w:r>
      <w:r>
        <w:footnoteReference w:id="2"/>
      </w:r>
    </w:p>
    <w:p>
      <w:pPr>
        <w:pStyle w:val="Heading2"/>
        <w:keepNext/>
      </w:pPr>
      <w:r>
        <w:rPr>
          <w:rFonts w:ascii="Garamond" w:hAnsi="Garamond"/>
          <w:b/>
          <w:color w:val="000000"/>
          <w:sz w:val="26"/>
        </w:rPr>
        <w:t>Addie M Mentzer</w:t>
      </w:r>
    </w:p>
    <w:p>
      <w:pPr>
        <w:keepNext w:val="0"/>
        <w:spacing w:line="360" w:lineRule="auto" w:after="140"/>
        <w:jc w:val="both"/>
      </w:pPr>
      <w:r>
        <w:rPr>
          <w:rFonts w:ascii="Garamond" w:hAnsi="Garamond"/>
          <w:sz w:val="24"/>
        </w:rPr>
        <w:t>Über Addies Kindheit und Jugend ist wesentlich weniger bekannt. Ihr Name ist im Heiratseintrag als Addie M. Mentzer belegt. Ein genealogisches Sekundärprofil nennt den 11. Juni 1880 als Geburtsdatum; weil ein eigenständig geprüftes Geburtsregister bislang fehlt, bleibt dieses Datum vorläufig. Die gelegentlich übernommene Form Adda G. Mentzer besitzt gegenüber dem Heiratseintrag und der zeitnahen Biografie von 1909 geringeres Gewicht und sollte nicht als gleichwertige Namensform behandelt werden.</w:t>
      </w:r>
      <w:r>
        <w:footnoteReference w:id="3"/>
      </w:r>
    </w:p>
    <w:p>
      <w:pPr>
        <w:keepNext w:val="0"/>
        <w:spacing w:line="360" w:lineRule="auto" w:after="140"/>
        <w:jc w:val="both"/>
      </w:pPr>
      <w:r>
        <w:rPr>
          <w:rFonts w:ascii="Garamond" w:hAnsi="Garamond"/>
          <w:sz w:val="24"/>
        </w:rPr>
        <w:t>Am 31. August 1904 heirateten N. Burdette Bailey und Addie M. Mentzer in Mahoning County. Der Zensus von 1910 führt Nelson in Youngstown; die vorhandene genealogische Verknüpfung ordnet Addie demselben Haushalt zu. Damit beginnt der gemeinsam belegbare Abschnitt ihres Lebens in einer stark industrialisierten, rasch wachsenden Stadt. Die Quellen sagen jedoch nichts Sicheres darüber, wie Addie ihren Alltag gestaltete, ob sie einer bezahlten Arbeit nachging oder welche Rolle Musik im privaten Haushalt spielte. Solche Lücken dürfen nicht mit typischen Rollenvorstellungen der Zeit ausgefüllt werden.</w:t>
      </w:r>
      <w:r>
        <w:footnoteReference w:id="4"/>
      </w:r>
    </w:p>
    <w:p>
      <w:pPr>
        <w:pStyle w:val="Heading1"/>
        <w:keepNext/>
      </w:pPr>
      <w:r>
        <w:rPr>
          <w:rFonts w:ascii="Garamond" w:hAnsi="Garamond"/>
          <w:b/>
          <w:color w:val="000000"/>
          <w:sz w:val="32"/>
        </w:rPr>
        <w:t>2 Der Aufbruch nach San Francisco</w:t>
      </w:r>
    </w:p>
    <w:p>
      <w:pPr>
        <w:keepNext w:val="0"/>
        <w:spacing w:line="360" w:lineRule="auto" w:after="140"/>
        <w:jc w:val="both"/>
      </w:pPr>
      <w:r>
        <w:rPr>
          <w:rFonts w:ascii="Garamond" w:hAnsi="Garamond"/>
          <w:sz w:val="24"/>
        </w:rPr>
        <w:t>Spätestens 1913 ist Nelson in San Francisco greifbar. Die Adressbücher führen ihn von 1913 bis 1919 in jedem Jahr mit dem Zusatz „with Sherman, Clay &amp; Co.“. Das belegt eine kontinuierliche öffentliche Zuordnung zu dem großen Musikhaus, jedoch keine genaue Stellenbezeichnung. Erst spätere Fachmeldungen verbinden ihn ausdrücklich mit der Abteilung für small goods, zu der kleinere Instrumente, Saiten und Zubehör gehörten. Ob Nelson dort vor allem Verkäufer, Fachberater, Demonstrator oder redaktioneller Mitarbeiter war, bleibt offen.</w:t>
      </w:r>
      <w:r>
        <w:footnoteReference w:id="5"/>
      </w:r>
    </w:p>
    <w:p>
      <w:pPr>
        <w:keepNext w:val="0"/>
        <w:spacing w:line="360" w:lineRule="auto" w:after="140"/>
        <w:jc w:val="both"/>
      </w:pPr>
      <w:r>
        <w:rPr>
          <w:rFonts w:ascii="Garamond" w:hAnsi="Garamond"/>
          <w:sz w:val="24"/>
        </w:rPr>
        <w:t>Der Wechsel von Ohio nach Kalifornien bedeutete einen Sprung zwischen sehr verschiedenen Lebenswelten. San Francisco war zu Beginn des 20. Jahrhunderts die größte und wohlhabendste Stadt der amerikanischen Westküste. Das Erdbeben und die anschließenden Brände vom 18. April 1906 zerstörten nahezu fünf Quadratmeilen im Herzen der Stadt, töteten nach heutiger Schätzung mindestens 3.000 Menschen und machten etwa 225.000 Menschen obdachlos. Nelson und Addie sind 1910 noch in Youngstown verortet; sie erlebten die Katastrophe nach dem gegenwärtigen Quellenstand daher nicht als Einwohner San Franciscos. Als Nelson spätestens 1913 dort nachweisbar ist, kam das Ehepaar in eine Stadt, deren Alltag noch vom Wiederaufbau, von neuer Bebauung, Zuwanderung und wirtschaftlicher Neuordnung geprägt war.</w:t>
      </w:r>
      <w:r>
        <w:footnoteReference w:id="6"/>
      </w:r>
    </w:p>
    <w:p>
      <w:pPr>
        <w:keepNext w:val="0"/>
        <w:spacing w:line="360" w:lineRule="auto" w:after="140"/>
        <w:jc w:val="both"/>
      </w:pPr>
      <w:r>
        <w:rPr>
          <w:rFonts w:ascii="Garamond" w:hAnsi="Garamond"/>
          <w:sz w:val="24"/>
        </w:rPr>
        <w:t>1916 nennt das Adressbuch „Nelson B (Addie)“ unter 1215 Third Avenue. Dieser Eintrag ist der klarste Beleg dafür, dass Addie den Umzug nach San Francisco mitvollzogen hatte und das Ehepaar damals noch gemeinsam öffentlich verzeichnet wurde. Über ihre konkrete Wohnung, ihre Einkünfte und ihr soziales Umfeld sagt der Eintrag dagegen wenig. Adressbücher zeigen, wie Menschen von Verlagen und Haushalten erfasst wurden; sie sind keine vollständigen Abbilder des Privatlebens.</w:t>
      </w:r>
    </w:p>
    <w:p>
      <w:pPr>
        <w:pStyle w:val="Heading1"/>
        <w:keepNext/>
      </w:pPr>
      <w:r>
        <w:rPr>
          <w:rFonts w:ascii="Garamond" w:hAnsi="Garamond"/>
          <w:b/>
          <w:color w:val="000000"/>
          <w:sz w:val="32"/>
        </w:rPr>
        <w:t>3 Nelsons Arbeit im Musikhandel</w:t>
      </w:r>
    </w:p>
    <w:p>
      <w:pPr>
        <w:keepNext w:val="0"/>
        <w:spacing w:line="360" w:lineRule="auto" w:after="140"/>
        <w:jc w:val="both"/>
      </w:pPr>
      <w:r>
        <w:rPr>
          <w:rFonts w:ascii="Garamond" w:hAnsi="Garamond"/>
          <w:sz w:val="24"/>
        </w:rPr>
        <w:t>1914 erschien bei Sherman, Clay &amp; Co. A Practical Method for Self Instruction on the Ukulele. Titelblatt, Copyrightseite und Einleitung weisen Bailey als Autor aus und erklären das Werk ausdrücklich als für das Selbststudium bestimmt. Die Methode gehört damit in die frühe Phase, in der die Ukulele auf dem amerikanischen Festland nicht mehr nur als exotisches Bühneninstrument, sondern als erlernbares Instrument für Amateure vermarktet wurde.</w:t>
      </w:r>
      <w:r>
        <w:footnoteReference w:id="7"/>
      </w:r>
    </w:p>
    <w:p>
      <w:pPr>
        <w:keepNext w:val="0"/>
        <w:spacing w:line="360" w:lineRule="auto" w:after="140"/>
        <w:jc w:val="both"/>
      </w:pPr>
      <w:r>
        <w:rPr>
          <w:rFonts w:ascii="Garamond" w:hAnsi="Garamond"/>
          <w:sz w:val="24"/>
        </w:rPr>
        <w:t>Baileys Tätigkeit ging über dieses einzelne Lehrheft hinaus. 1916 nannte die Fachpresse drei mit seinem Namen verbundene Sherman-Clay-Veröffentlichungen: die Practical Method, eine Sammlung von Ukulelensoli mit Keoki E. Awai und die von Bailey bearbeitete Peterson-Methode für Hawaiian Guitar. Im selben Jahrzehnt ließ er gemeinsam mit Ignaz A. Lutz einen Violin Friction-Peg patentieren. Die Kombination aus Lehrwerk, Repertoire, Handel und technischer Erfindung zeigt einen praxisorientierten Musiker, der Probleme des Lernens und der Handhabung von Instrumenten in veröffentlichbare Formen übersetzte.</w:t>
      </w:r>
      <w:r>
        <w:footnoteReference w:id="8"/>
      </w:r>
    </w:p>
    <w:p>
      <w:pPr>
        <w:keepNext w:val="0"/>
        <w:spacing w:line="360" w:lineRule="auto" w:after="140"/>
        <w:jc w:val="both"/>
      </w:pPr>
      <w:r>
        <w:rPr>
          <w:rFonts w:ascii="Garamond" w:hAnsi="Garamond"/>
          <w:sz w:val="24"/>
        </w:rPr>
        <w:t>Der kommerzielle Erfolg ist nur abgestuft formulierbar. Ein firmennaher Branchenbericht sprach 1916 von mehr als 100.000 Exemplaren; eine Sherman-Clay-Anzeige von 1925 behauptete „nearly two million sold“. Beides sind wichtige zeitgenössische Aussagen über die Marktpositionierung, aber keine unabhängig geprüften Verkaufsbilanzen. Zulässig ist deshalb die Feststellung, dass die Methode sehr stark beworben und in hohen Stückzahlen beansprucht wurde; unzulässig bleibt der unbelegte Superlativ, sie sei nachweislich die erfolgreichste Methode ihrer Zeit.</w:t>
      </w:r>
      <w:r>
        <w:footnoteReference w:id="9"/>
      </w:r>
    </w:p>
    <w:p>
      <w:pPr>
        <w:pStyle w:val="Heading1"/>
        <w:keepNext/>
      </w:pPr>
      <w:r>
        <w:rPr>
          <w:rFonts w:ascii="Garamond" w:hAnsi="Garamond"/>
          <w:b/>
          <w:color w:val="000000"/>
          <w:sz w:val="32"/>
        </w:rPr>
        <w:t>4 Die Trennung von Nelson und Addie</w:t>
      </w:r>
    </w:p>
    <w:p>
      <w:pPr>
        <w:keepNext w:val="0"/>
        <w:spacing w:line="360" w:lineRule="auto" w:after="140"/>
        <w:jc w:val="both"/>
      </w:pPr>
      <w:r>
        <w:rPr>
          <w:rFonts w:ascii="Garamond" w:hAnsi="Garamond"/>
          <w:sz w:val="24"/>
        </w:rPr>
        <w:t>Ab 1918 werden die Lebenswege des Ehepaars in den Adressbüchern sichtbar getrennt. Addie erscheint unter 685 Geary, Nelson unter 2026 Cabrillo. 1919 wird Nelson unter 1720 Broadway geführt. 1920 bleibt Addie an 685 Geary, während Nelson unter 1143 Larkin eingetragen ist. Die Quellen belegen damit eine räumliche Trennung, nennen aber weder den Zeitpunkt noch die Gründe des Auseinandergehens.</w:t>
      </w:r>
      <w:r>
        <w:footnoteReference w:id="10"/>
      </w:r>
    </w:p>
    <w:p>
      <w:pPr>
        <w:keepNext w:val="0"/>
        <w:spacing w:line="360" w:lineRule="auto" w:after="140"/>
        <w:jc w:val="both"/>
      </w:pPr>
      <w:r>
        <w:rPr>
          <w:rFonts w:ascii="Garamond" w:hAnsi="Garamond"/>
          <w:sz w:val="24"/>
        </w:rPr>
        <w:t>Der rechtliche Endpunkt ergibt sich erst aus Nelsons zweiter Heiratsurkunde: Am 6. November 1921 wurde sein Familienstand als geschieden angegeben. Die Scheidung muss also nach der Heirat von 1904 und vor diesem Datum erfolgt sein. Die getrennten Anschriften machen die Jahre 1918 bis 1921 zum wahrscheinlichsten Suchzeitraum, ersetzen aber keine Scheidungsakte. Aussagen über Schuld, Konflikte oder persönliche Motive wären reine Erfindung.</w:t>
      </w:r>
    </w:p>
    <w:p>
      <w:pPr>
        <w:keepNext w:val="0"/>
        <w:spacing w:line="360" w:lineRule="auto" w:after="140"/>
        <w:jc w:val="both"/>
      </w:pPr>
      <w:r>
        <w:rPr>
          <w:rFonts w:ascii="Garamond" w:hAnsi="Garamond"/>
          <w:sz w:val="24"/>
        </w:rPr>
        <w:t>Für Addie begann damit ein eigenständiger, ungewöhnlich lang dokumentierter Lebensabschnitt. Sie behielt den Namen Bailey und blieb mit 685 Geary verbunden. Dass sie als „Mrs. Addie M. Bailey“ geführt wurde, entspricht der damaligen Konvention und erlaubt für sich allein keine sichere Aussage darüber, ob sie geschieden, verwitwet oder bewusst unter dem Ehenamen registriert wurde. Erst Nelsons Urkunde von 1921 sichert die Scheidung.</w:t>
      </w:r>
    </w:p>
    <w:p>
      <w:pPr>
        <w:pStyle w:val="Heading1"/>
        <w:keepNext/>
      </w:pPr>
      <w:r>
        <w:rPr>
          <w:rFonts w:ascii="Garamond" w:hAnsi="Garamond"/>
          <w:b/>
          <w:color w:val="000000"/>
          <w:sz w:val="32"/>
        </w:rPr>
        <w:t>5 Maude Burrell Watson</w:t>
      </w:r>
    </w:p>
    <w:p>
      <w:pPr>
        <w:keepNext w:val="0"/>
        <w:spacing w:line="360" w:lineRule="auto" w:after="140"/>
        <w:jc w:val="both"/>
      </w:pPr>
      <w:r>
        <w:rPr>
          <w:rFonts w:ascii="Garamond" w:hAnsi="Garamond"/>
          <w:sz w:val="24"/>
        </w:rPr>
        <w:t>Maudes vollständiger Name ist im San-Francisco-Heiratseintrag als Maude Burrell Watson belegt. Der Familienstand lautet „widowed“. Daraus folgt: Burrell war ihr Geburtsname, Watson der Name aus einer früheren Ehe. Als Eltern werden in den ausgewerteten Unterlagen Jay D. Burrell und Josephine Spencer genannt. Ein Geburtsjahr 1878 ist plausibel und wird von genealogischen Datensätzen gestützt; eine abschließend geprüfte Geburtsurkunde liegt im bisherigen Dossier jedoch nicht vor.</w:t>
      </w:r>
      <w:r>
        <w:footnoteReference w:id="11"/>
      </w:r>
    </w:p>
    <w:p>
      <w:pPr>
        <w:keepNext w:val="0"/>
        <w:spacing w:line="360" w:lineRule="auto" w:after="140"/>
        <w:jc w:val="both"/>
      </w:pPr>
      <w:r>
        <w:rPr>
          <w:rFonts w:ascii="Garamond" w:hAnsi="Garamond"/>
          <w:sz w:val="24"/>
        </w:rPr>
        <w:t>Das Verwitwetsein war im frühen 20. Jahrhundert zugleich ein rechtlicher Status und eine soziale Identität, die in Urkunden und Adressbüchern regelmäßig ausdrücklich genannt wurde. Eine Witwe konnte einen früheren Ehenamen weiterführen, einen eigenen Haushalt bilden und erneut heiraten. Wie Maude ihren Lebensunterhalt vor der Ehe mit Nelson bestritt, ist nicht belegt. Der landesweite Zensusbericht von 1907 zeigt zwar, dass Frauenarbeit nach Alter, Herkunft, Familienstand und Beruf statistisch erfasst wurde; daraus darf aber keine konkrete Erwerbstätigkeit Maudes oder Addies abgeleitet werden.</w:t>
      </w:r>
      <w:r>
        <w:footnoteReference w:id="12"/>
      </w:r>
    </w:p>
    <w:p>
      <w:pPr>
        <w:keepNext w:val="0"/>
        <w:spacing w:line="360" w:lineRule="auto" w:after="140"/>
        <w:jc w:val="both"/>
      </w:pPr>
      <w:r>
        <w:rPr>
          <w:rFonts w:ascii="Garamond" w:hAnsi="Garamond"/>
          <w:sz w:val="24"/>
        </w:rPr>
        <w:t>1920 führen die Adressbücher Nelson B. Bailey und „Maude B Mrs“ beide unter 1143 Larkin. Diese identische Adresse ist ein starkes Indiz für eine bereits bestehende Nähe. Sie beweist jedoch nicht, dass beide dieselbe Wohnung teilten, denn größere Gebäude konnten mehrere Haushalte beherbergen. Addie wohnte zur selben Zeit weiterhin an 685 Geary. Die drei Personen lebten also spätestens 1920 in derselben Stadt, aber in einer privaten Konstellation, deren Einzelheiten die Quellen nicht offenlegen.</w:t>
      </w:r>
    </w:p>
    <w:p>
      <w:pPr>
        <w:pStyle w:val="Heading1"/>
        <w:keepNext/>
      </w:pPr>
      <w:r>
        <w:rPr>
          <w:rFonts w:ascii="Garamond" w:hAnsi="Garamond"/>
          <w:b/>
          <w:color w:val="000000"/>
          <w:sz w:val="32"/>
        </w:rPr>
        <w:t>6 Die zweite Ehe</w:t>
      </w:r>
    </w:p>
    <w:p>
      <w:pPr>
        <w:keepNext w:val="0"/>
        <w:spacing w:line="360" w:lineRule="auto" w:after="140"/>
        <w:jc w:val="both"/>
      </w:pPr>
      <w:r>
        <w:rPr>
          <w:rFonts w:ascii="Garamond" w:hAnsi="Garamond"/>
          <w:sz w:val="24"/>
        </w:rPr>
        <w:t>Nelson Burdette Bailey und Maude Burrell Watson heirateten am 6. November 1921 in San Francisco. Nelson wurde als Musiker und geschieden, Maude als verwitwet bezeichnet. Der amtliche San-Francisco-Eintrag hat Vorrang vor der früher wiederholten Angabe einer Eheschließung am 16. Juni 1921 in Cedar Rapids, Iowa; für diese ältere Angabe ist bislang kein gleichwertiger Originalbeleg bekannt.</w:t>
      </w:r>
      <w:r>
        <w:footnoteReference w:id="13"/>
      </w:r>
    </w:p>
    <w:p>
      <w:pPr>
        <w:keepNext w:val="0"/>
        <w:spacing w:line="360" w:lineRule="auto" w:after="140"/>
        <w:jc w:val="both"/>
      </w:pPr>
      <w:r>
        <w:rPr>
          <w:rFonts w:ascii="Garamond" w:hAnsi="Garamond"/>
          <w:sz w:val="24"/>
        </w:rPr>
        <w:t>Die Eheschließung fiel in eine Phase wachsender rechtlicher und politischer Sichtbarkeit von Frauen. Kalifornische Frauen hatten 1911 nach einer knappen Abstimmung das Wahlrecht auf Staatsebene erhalten; 1920 folgte mit dem 19. Zusatzartikel das landesweite Frauenwahlrecht. Das bedeutete keine vollständige soziale oder wirtschaftliche Gleichstellung. Es veränderte aber die staatsbürgerliche Stellung von Frauen wie Addie und Maude grundlegend: Beide lebten in Kalifornien nun als wahlberechtigte Bürgerinnen.</w:t>
      </w:r>
      <w:r>
        <w:footnoteReference w:id="14"/>
      </w:r>
    </w:p>
    <w:p>
      <w:pPr>
        <w:keepNext w:val="0"/>
        <w:spacing w:line="360" w:lineRule="auto" w:after="140"/>
        <w:jc w:val="both"/>
      </w:pPr>
      <w:r>
        <w:rPr>
          <w:rFonts w:ascii="Garamond" w:hAnsi="Garamond"/>
          <w:sz w:val="24"/>
        </w:rPr>
        <w:t>Über den Ehealltag von Nelson und Maude ist wenig direkt überliefert. In den 1930er und 1940er Jahren erscheint Nelson in San Francisco als Musiker beziehungsweise Musiklehrer; ein Adressbucheintrag führt ihn mit Maude unter 368 Seventh Avenue. Daneben setzte er seine technische Arbeit fort: Das Patent für einen Instrumentenhalter wurde 1928, das Patent für ein gepolstertes Mundstück für Rohrblattinstrumente 1929 erteilt. Die Patente belegen die rechtliche Anerkennung der Konstruktionen, nicht deren Serienfertigung oder wirtschaftlichen Erfolg.</w:t>
      </w:r>
      <w:r>
        <w:footnoteReference w:id="15"/>
      </w:r>
    </w:p>
    <w:p>
      <w:pPr>
        <w:pStyle w:val="Heading1"/>
        <w:keepNext/>
      </w:pPr>
      <w:r>
        <w:rPr>
          <w:rFonts w:ascii="Garamond" w:hAnsi="Garamond"/>
          <w:b/>
          <w:color w:val="000000"/>
          <w:sz w:val="32"/>
        </w:rPr>
        <w:t>7 Addies langes Leben in San Francisco</w:t>
      </w:r>
    </w:p>
    <w:p>
      <w:pPr>
        <w:keepNext w:val="0"/>
        <w:spacing w:line="360" w:lineRule="auto" w:after="140"/>
        <w:jc w:val="both"/>
      </w:pPr>
      <w:r>
        <w:rPr>
          <w:rFonts w:ascii="Garamond" w:hAnsi="Garamond"/>
          <w:sz w:val="24"/>
        </w:rPr>
        <w:t>Addies spätere Biografie lässt sich fast ausschließlich über ihre Adresse rekonstruieren. Polk-Adressbücher führen sie 1954 und 1957 im Pontchartrain Apartments, 685 Geary, Apartment 305, mit der Telefonnummer PR 5-8315. Weitere eindeutige Einträge folgen 1959, 1961, 1962 sowie 1964 bis 1971. In mehreren Jahrgängen wird sie als „retired“ bezeichnet. 1968 erscheint die modernisierte Telefonnummer 775-8315. Diese Kontinuität macht Addie zu der am längsten in San Francisco nachweisbaren Person der drei Biografien.</w:t>
      </w:r>
      <w:r>
        <w:footnoteReference w:id="16"/>
      </w:r>
    </w:p>
    <w:p>
      <w:pPr>
        <w:keepNext w:val="0"/>
        <w:spacing w:line="360" w:lineRule="auto" w:after="140"/>
        <w:jc w:val="both"/>
      </w:pPr>
      <w:r>
        <w:rPr>
          <w:rFonts w:ascii="Garamond" w:hAnsi="Garamond"/>
          <w:sz w:val="24"/>
        </w:rPr>
        <w:t>Die Adresse ist mehr als ein bloßer Listenpunkt. Sie zeigt, dass Addie über Jahrzehnte in einem innerstädtischen Apartmentgebäude lebte und trotz Scheidung unter dem Namen Bailey registriert blieb. Ob sie Eigentümerin oder Mieterin war, allein oder mit anderen Personen lebte oder Unterstützung erhielt, geht daraus nicht hervor. Ebenso wenig darf aus dem Vermerk „retired“ rückwirkend auf einen bestimmten Beruf geschlossen werden.</w:t>
      </w:r>
    </w:p>
    <w:p>
      <w:pPr>
        <w:keepNext w:val="0"/>
        <w:spacing w:line="360" w:lineRule="auto" w:after="140"/>
        <w:jc w:val="both"/>
      </w:pPr>
      <w:r>
        <w:rPr>
          <w:rFonts w:ascii="Garamond" w:hAnsi="Garamond"/>
          <w:sz w:val="24"/>
        </w:rPr>
        <w:t>1971 ist Addie letztmals an 685 Geary nachgewiesen; 1972 und 1973 fehlt sie dort. Ein solcher Negativbefund kann Tod, Umzug, Krankheit, Heimaufnahme oder eine Änderung der Verzeichniserfassung bedeuten. Falls das nur sekundär überlieferte Geburtsdatum vom 11. Juni 1880 zutrifft, wäre sie 1971 ungefähr 91 Jahre alt gewesen. Ein exaktes Sterbedatum ist dennoch nicht belegt.</w:t>
      </w:r>
    </w:p>
    <w:p>
      <w:pPr>
        <w:pStyle w:val="Heading1"/>
        <w:keepNext/>
      </w:pPr>
      <w:r>
        <w:rPr>
          <w:rFonts w:ascii="Garamond" w:hAnsi="Garamond"/>
          <w:b/>
          <w:color w:val="000000"/>
          <w:sz w:val="32"/>
        </w:rPr>
        <w:t>8 Nelson und Maude in Santa Rosa</w:t>
      </w:r>
    </w:p>
    <w:p>
      <w:pPr>
        <w:keepNext w:val="0"/>
        <w:spacing w:line="360" w:lineRule="auto" w:after="140"/>
        <w:jc w:val="both"/>
      </w:pPr>
      <w:r>
        <w:rPr>
          <w:rFonts w:ascii="Garamond" w:hAnsi="Garamond"/>
          <w:sz w:val="24"/>
        </w:rPr>
        <w:t>In den letzten Lebensjahren verlagerte sich der gemeinsame Lebensmittelpunkt Nelsons und Maudes nach Santa Rosa. Die zeitgenössische Todesanzeige berichtet, Nelson Bert Bailey sei am 23. Juli 1948 in Santa Rosa gestorben, und nennt Maude Bailey als seine Ehefrau. Damit ist Maude im Juli 1948 sicher lebend und weiterhin mit Nelson verheiratet belegt. Die in älteren Zusammenstellungen verbreitete Datierung auf den 9. Juli 1948 ist durch diese Anzeige zu korrigieren.</w:t>
      </w:r>
      <w:r>
        <w:footnoteReference w:id="17"/>
      </w:r>
    </w:p>
    <w:p>
      <w:pPr>
        <w:keepNext w:val="0"/>
        <w:spacing w:line="360" w:lineRule="auto" w:after="140"/>
        <w:jc w:val="both"/>
      </w:pPr>
      <w:r>
        <w:rPr>
          <w:rFonts w:ascii="Garamond" w:hAnsi="Garamond"/>
          <w:sz w:val="24"/>
        </w:rPr>
        <w:t>Nelsons Leichnam wurde nach Warren, Ohio, überführt und auf dem Oakwood Cemetery beigesetzt. Damit schloss sich sein Lebensweg geografisch zwischen Ohio und Kalifornien: Geburt und Bestattung im Trumbull County, das wichtigste Berufsleben an der Westküste. Das Grab ist ein materieller Erinnerungsort; es ersetzt jedoch keine vollständige amtliche Sterbeurkunde.</w:t>
      </w:r>
    </w:p>
    <w:p>
      <w:pPr>
        <w:keepNext w:val="0"/>
        <w:spacing w:line="360" w:lineRule="auto" w:after="140"/>
        <w:jc w:val="both"/>
      </w:pPr>
      <w:r>
        <w:rPr>
          <w:rFonts w:ascii="Garamond" w:hAnsi="Garamond"/>
          <w:sz w:val="24"/>
        </w:rPr>
        <w:t>Für Maude endet die sichere Spur mit der Todesanzeige. Im Zensusbezirk der früheren Anschrift 429 Eighth Street in Santa Rosa ließ sich im April 1950 kein passender Eintrag unter Bailey, Maude oder Clara finden. Wegen möglicher Erfassungs- und Lesefehler beweist dies weder Tod noch Wegzug. Mehrere später verfolgte Namensspuren gehören nachweislich zu anderen Frauen: Die 1976 in Berkeley verstorbene Maude R. Rowland Bailey war die Ehefrau von Charles M. Bailey; die Clara Bailey aus Fort Dick gehörte zur Familie Walker. Maudes Todesdatum bleibt offen.</w:t>
      </w:r>
      <w:r>
        <w:footnoteReference w:id="18"/>
      </w:r>
    </w:p>
    <w:p>
      <w:pPr>
        <w:pStyle w:val="Heading1"/>
        <w:keepNext/>
      </w:pPr>
      <w:r>
        <w:rPr>
          <w:rFonts w:ascii="Garamond" w:hAnsi="Garamond"/>
          <w:b/>
          <w:color w:val="000000"/>
          <w:sz w:val="32"/>
        </w:rPr>
        <w:t>9 Lebensumstände am Anfang des 20 Jahrhunderts</w:t>
      </w:r>
    </w:p>
    <w:p>
      <w:pPr>
        <w:pStyle w:val="Heading2"/>
        <w:keepNext/>
      </w:pPr>
      <w:r>
        <w:rPr>
          <w:rFonts w:ascii="Garamond" w:hAnsi="Garamond"/>
          <w:b/>
          <w:color w:val="000000"/>
          <w:sz w:val="26"/>
        </w:rPr>
        <w:t>Industrialisierung und Mobilität</w:t>
      </w:r>
    </w:p>
    <w:p>
      <w:pPr>
        <w:keepNext w:val="0"/>
        <w:spacing w:line="360" w:lineRule="auto" w:after="140"/>
        <w:jc w:val="both"/>
      </w:pPr>
      <w:r>
        <w:rPr>
          <w:rFonts w:ascii="Garamond" w:hAnsi="Garamond"/>
          <w:sz w:val="24"/>
        </w:rPr>
        <w:t>Die gemeinsame Geschichte begann in einer Epoche hoher Mobilität. Youngstown und das Mahoning Valley waren durch Stahlwerke, Eisenbahnen und Einwanderung geprägt. San Francisco stand nach 1906 für Wiederaufbau, Handel und westliche Modernität. Der Weg von Ohio nach Kalifornien war zwar durch das Eisenbahnnetz möglich geworden, blieb aber ein weitreichender sozialer Einschnitt. Für Nelson eröffnete er den Zugang zu einem großen Musikhaus und einem rasch wachsenden Konsummarkt; für Addie bedeutete er ein Leben fern der Herkunftsregion, später als geschiedene Frau in einer Metropole.</w:t>
      </w:r>
    </w:p>
    <w:p>
      <w:pPr>
        <w:pStyle w:val="Heading2"/>
        <w:keepNext/>
      </w:pPr>
      <w:r>
        <w:rPr>
          <w:rFonts w:ascii="Garamond" w:hAnsi="Garamond"/>
          <w:b/>
          <w:color w:val="000000"/>
          <w:sz w:val="26"/>
        </w:rPr>
        <w:t>Das Erdbeben von 1906 und die wiederaufgebaute Stadt</w:t>
      </w:r>
    </w:p>
    <w:p>
      <w:pPr>
        <w:keepNext w:val="0"/>
        <w:spacing w:line="360" w:lineRule="auto" w:after="140"/>
        <w:jc w:val="both"/>
      </w:pPr>
      <w:r>
        <w:rPr>
          <w:rFonts w:ascii="Garamond" w:hAnsi="Garamond"/>
          <w:sz w:val="24"/>
        </w:rPr>
        <w:t>Das Erdbeben ist für die gemeinsame Biografie vor allem als Vorgeschichte ihres kalifornischen Lebens bedeutsam. Der sichere Quellenstand setzt Nelson und Addie 1910 noch in Youngstown; Nelson erscheint erst ab 1913 kontinuierlich in den San-Francisco-Adressbüchern. Sie gehörten daher nicht zu den bislang nachweisbaren Erdbebenopfern oder unmittelbar Vertriebenen. Sie trafen aber auf eine Stadt, deren Wohnungsbestand, Geschäftsviertel, Verkehrswege und Institutionen in wenigen Jahren tiefgreifend erneuert worden waren. Das erklärt den städtischen Rahmen ihrer Ankunft, nicht ihre persönlichen Motive für den Umzug.</w:t>
      </w:r>
      <w:r>
        <w:footnoteReference w:id="19"/>
      </w:r>
    </w:p>
    <w:p>
      <w:pPr>
        <w:keepNext w:val="0"/>
        <w:spacing w:line="360" w:lineRule="auto" w:after="140"/>
        <w:jc w:val="both"/>
      </w:pPr>
      <w:r>
        <w:rPr>
          <w:rFonts w:ascii="Garamond" w:hAnsi="Garamond"/>
          <w:sz w:val="24"/>
        </w:rPr>
        <w:t>Auch die Lücken der Personenüberlieferung dürfen nicht pauschal mit den Aktenverlusten von 1906 erklärt werden. Nelsons frühe Jahre lagen zu dieser Zeit in Ohio; Addies und Maudes fehlende Lebensdaten müssen jeweils an den zuständigen Orten und in den dortigen Registern gesucht werden. Das Erdbeben erklärt die Umgestaltung San Franciscos, aber nicht automatisch jede fehlende Urkunde oder spätere Adressänderung.</w:t>
      </w:r>
    </w:p>
    <w:p>
      <w:pPr>
        <w:pStyle w:val="Heading2"/>
        <w:keepNext/>
      </w:pPr>
      <w:r>
        <w:rPr>
          <w:rFonts w:ascii="Garamond" w:hAnsi="Garamond"/>
          <w:b/>
          <w:color w:val="000000"/>
          <w:sz w:val="26"/>
        </w:rPr>
        <w:t>Frauen zwischen Haushalt eigener Adresse und lückenhafter Überlieferung</w:t>
      </w:r>
    </w:p>
    <w:p>
      <w:pPr>
        <w:keepNext w:val="0"/>
        <w:spacing w:line="360" w:lineRule="auto" w:after="140"/>
        <w:jc w:val="both"/>
      </w:pPr>
      <w:r>
        <w:rPr>
          <w:rFonts w:ascii="Garamond" w:hAnsi="Garamond"/>
          <w:sz w:val="24"/>
        </w:rPr>
        <w:t>Die Quellen zeigen die ungleiche Sichtbarkeit der Geschlechter. Nelson wird mit Arbeitgeber, Beruf, Veröffentlichungen und Patenten erfasst. Addie und Maude erscheinen häufig nur über ihren Familienstand oder die Beziehung zu einem Mann. Gerade deshalb sind ihre eigenen Adressbucheinträge bedeutsam: Addies jahrzehntelange Registrierung an 685 Geary und Maudes Eintrag als verwitwete „Mrs. Maude B.“ belegen eigenständige administrative Existenzen. Sie sagen jedoch nichts Sicheres über Gefühle, Freundschaften, Bildung oder Einkommen.</w:t>
      </w:r>
    </w:p>
    <w:p>
      <w:pPr>
        <w:keepNext w:val="0"/>
        <w:spacing w:line="360" w:lineRule="auto" w:after="140"/>
        <w:jc w:val="both"/>
      </w:pPr>
      <w:r>
        <w:rPr>
          <w:rFonts w:ascii="Garamond" w:hAnsi="Garamond"/>
          <w:sz w:val="24"/>
        </w:rPr>
        <w:t>Die amtliche Statistik begann Frauenarbeit um 1900 differenzierter zu erfassen. Das zeigt, dass weibliche Erwerbsarbeit keineswegs unsichtbar oder selten war; zugleich blieb die gesellschaftliche Erwartung einer durch Ehe und Haushalt bestimmten Frauenrolle stark. Für Addie und Maude ist daher beides möglich: eine eigene Erwerbstätigkeit oder wirtschaftliche Abhängigkeit. Ohne Berufsangaben muss die Biografie diese Alternative offenlassen.</w:t>
      </w:r>
    </w:p>
    <w:p>
      <w:pPr>
        <w:pStyle w:val="Heading2"/>
        <w:keepNext/>
      </w:pPr>
      <w:r>
        <w:rPr>
          <w:rFonts w:ascii="Garamond" w:hAnsi="Garamond"/>
          <w:b/>
          <w:color w:val="000000"/>
          <w:sz w:val="26"/>
        </w:rPr>
        <w:t>Scheidung Verwitwung und Wiederheirat</w:t>
      </w:r>
    </w:p>
    <w:p>
      <w:pPr>
        <w:keepNext w:val="0"/>
        <w:spacing w:line="360" w:lineRule="auto" w:after="140"/>
        <w:jc w:val="both"/>
      </w:pPr>
      <w:r>
        <w:rPr>
          <w:rFonts w:ascii="Garamond" w:hAnsi="Garamond"/>
          <w:sz w:val="24"/>
        </w:rPr>
        <w:t>Addie und Maude verkörpern zwei unterschiedliche weibliche Lebenslagen. Addie lebte spätestens ab 1918 getrennt und war vor November 1921 geschieden. Maude hatte einen ersten Ehemann verloren und ging als Witwe eine zweite Ehe ein. Beide Statusformen wurden in Urkunden und Verzeichnissen ausdrücklich markiert. Scheidung und Wiederheirat waren rechtlich möglich, gesellschaftlich aber stärker erklärungsbedürftig als heute. Die Dokumente zeigen das Ergebnis, nicht den persönlichen Weg dorthin.</w:t>
      </w:r>
    </w:p>
    <w:p>
      <w:pPr>
        <w:pStyle w:val="Heading2"/>
        <w:keepNext/>
      </w:pPr>
      <w:r>
        <w:rPr>
          <w:rFonts w:ascii="Garamond" w:hAnsi="Garamond"/>
          <w:b/>
          <w:color w:val="000000"/>
          <w:sz w:val="26"/>
        </w:rPr>
        <w:t>Massenkultur Musikhandel und Ukulele</w:t>
      </w:r>
    </w:p>
    <w:p>
      <w:pPr>
        <w:keepNext w:val="0"/>
        <w:spacing w:line="360" w:lineRule="auto" w:after="140"/>
        <w:jc w:val="both"/>
      </w:pPr>
      <w:r>
        <w:rPr>
          <w:rFonts w:ascii="Garamond" w:hAnsi="Garamond"/>
          <w:sz w:val="24"/>
        </w:rPr>
        <w:t>Nelsons berufliche Jahre fielen in den Aufstieg moderner Unterhaltungsmärkte. Gedruckte Lehrhefte, Noten, Versandhandel und große Musikgeschäfte machten Musikunterricht unabhängig von einer persönlichen Lehrkraft skalierbar. Genau in diesen Markt gehörten Sherman, Clay &amp; Co. und Baileys Practical Method von 1914.</w:t>
      </w:r>
    </w:p>
    <w:p>
      <w:pPr>
        <w:pStyle w:val="Heading2"/>
        <w:keepNext/>
      </w:pPr>
      <w:r>
        <w:rPr>
          <w:rFonts w:ascii="Garamond" w:hAnsi="Garamond"/>
          <w:b/>
          <w:color w:val="000000"/>
          <w:sz w:val="26"/>
        </w:rPr>
        <w:t>Die Weltausstellung PPIE von 1915</w:t>
      </w:r>
    </w:p>
    <w:p>
      <w:pPr>
        <w:keepNext w:val="0"/>
        <w:spacing w:line="360" w:lineRule="auto" w:after="140"/>
        <w:jc w:val="both"/>
      </w:pPr>
      <w:r>
        <w:rPr>
          <w:rFonts w:ascii="Garamond" w:hAnsi="Garamond"/>
          <w:sz w:val="24"/>
        </w:rPr>
        <w:t>Die Panama-Pacific International Exposition öffnete am 20. Februar 1915 und wurde zum sichtbarsten Symbol des Wiederaufbaus. Mehr als 18 Millionen Besucher kamen bis zur Schließung am 4. Dezember. Die Ausstellung feierte den Panamakanal, technische und wirtschaftliche Modernität sowie San Franciscos Rückkehr als internationale Metropole. Zugleich präsentierte sie Staaten, Territorien und Kulturen in einer Form, die von den kolonialen Vorstellungen ihrer Zeit geprägt war.</w:t>
      </w:r>
      <w:r>
        <w:footnoteReference w:id="20"/>
      </w:r>
    </w:p>
    <w:p>
      <w:pPr>
        <w:keepNext w:val="0"/>
        <w:spacing w:line="360" w:lineRule="auto" w:after="140"/>
        <w:jc w:val="both"/>
      </w:pPr>
      <w:r>
        <w:rPr>
          <w:rFonts w:ascii="Garamond" w:hAnsi="Garamond"/>
          <w:sz w:val="24"/>
        </w:rPr>
        <w:t>Nelson war im Ausstellungsjahr in San Francisco öffentlich mit Sherman, Clay &amp; Co. verbunden. Addie ist spätestens 1916 durch den gemeinsamen Adressbucheintrag sicher in der Stadt belegt; für Maude beginnt der sichere San-Francisco-Nachweis erst später. Bislang gibt es weder eine Eintrittskarte, einen Zeitungsbericht noch ein Aussteller- oder Personalverzeichnis, das einen der drei ausdrücklich als Besucher oder Beteiligten der PPIE nennt. Ihre persönliche Anwesenheit auf dem Ausstellungsgelände bleibt deshalb offen.</w:t>
      </w:r>
    </w:p>
    <w:p>
      <w:pPr>
        <w:keepNext w:val="0"/>
        <w:spacing w:line="360" w:lineRule="auto" w:after="140"/>
        <w:jc w:val="both"/>
      </w:pPr>
      <w:r>
        <w:rPr>
          <w:rFonts w:ascii="Garamond" w:hAnsi="Garamond"/>
          <w:sz w:val="24"/>
        </w:rPr>
        <w:t>Für Nelsons berufliches Umfeld ist die Ausstellung dennoch unmittelbar relevant. Im Gebäude des damaligen US-Territoriums Hawaii traten Sänger und Musiker auf; die Library of Congress beschreibt einen deutlichen Popularitätsschub hawaiianischer Musik nach den prominenten PPIE-Auftritten von 1915. Baileys Ukulelenschule war bereits 1914 erschienen. Sie war daher keine nachträgliche Reaktion auf die Ausstellung, stand aber als leicht zugängliches Selbstunterrichtswerk bereit, als die Nachfrage nach hawaiianischer Musik und Ukulele stark anwuchs.</w:t>
      </w:r>
      <w:r>
        <w:footnoteReference w:id="21"/>
      </w:r>
    </w:p>
    <w:p>
      <w:pPr>
        <w:keepNext w:val="0"/>
        <w:spacing w:line="360" w:lineRule="auto" w:after="140"/>
        <w:jc w:val="both"/>
      </w:pPr>
      <w:r>
        <w:rPr>
          <w:rFonts w:ascii="Garamond" w:hAnsi="Garamond"/>
          <w:sz w:val="24"/>
        </w:rPr>
        <w:t>Die Quellen legen nahe, dass Sherman, Clay &amp; Co. Nelson spätestens 1914 als Autor und pädagogischen Spezialisten für sein Ukuleleprogramm einband. Als vorsichtige Arbeitshypothese lässt sich diese Einbindung im Umfeld der PPIE als Teil der Reaktion des Musikhandels auf die wachsende Nachfrage nach Hawaiian Music und Ukuleleunterricht verstehen. Nicht belegt ist dagegen, dass Bailey eigens wegen der Ausstellung eingestellt wurde, dort für Sherman, Clay &amp; Co. auftrat oder einen offiziellen Stand betreute.</w:t>
      </w:r>
    </w:p>
    <w:p>
      <w:pPr>
        <w:pStyle w:val="Heading2"/>
        <w:keepNext/>
      </w:pPr>
      <w:r>
        <w:rPr>
          <w:rFonts w:ascii="Garamond" w:hAnsi="Garamond"/>
          <w:b/>
          <w:color w:val="000000"/>
          <w:sz w:val="26"/>
        </w:rPr>
        <w:t>Keoki E Awai als Verbindung zwischen PPIE und Bailey</w:t>
      </w:r>
    </w:p>
    <w:p>
      <w:pPr>
        <w:keepNext w:val="0"/>
        <w:spacing w:line="360" w:lineRule="auto" w:after="140"/>
        <w:jc w:val="both"/>
      </w:pPr>
      <w:r>
        <w:rPr>
          <w:rFonts w:ascii="Garamond" w:hAnsi="Garamond"/>
          <w:sz w:val="24"/>
        </w:rPr>
        <w:t>Die konkreteste personelle Verbindung zwischen dem musikalischen Umfeld der PPIE und Baileys späterer Arbeit führt über George Keoki E. Awai. Die musikhistorische Untersuchung von Jim Tranquada und John King zählt Awai zu den hawaiianischen Musikern, die 1915 auf der Ausstellung auftraten. Ein bislang geprüftes Primärdokument nennt jedoch weder das genaue Auftrittsdatum noch eine Zusammenarbeit Awais mit Bailey während der PPIE. Awais Ausstellungstätigkeit ist damit gut sekundär belegt; eine gemeinsame Tätigkeit der beiden Männer auf dem Ausstellungsgelände bleibt unbewiesen.</w:t>
      </w:r>
      <w:r>
        <w:footnoteReference w:id="22"/>
      </w:r>
    </w:p>
    <w:p>
      <w:pPr>
        <w:keepNext w:val="0"/>
        <w:spacing w:line="360" w:lineRule="auto" w:after="140"/>
        <w:jc w:val="both"/>
      </w:pPr>
      <w:r>
        <w:rPr>
          <w:rFonts w:ascii="Garamond" w:hAnsi="Garamond"/>
          <w:sz w:val="24"/>
        </w:rPr>
        <w:t>1916 veröffentlichte Sherman, Clay &amp; Co. The Ukulele as a Solo Instrument: A Collection of Ukulele Solos, with Full Instructions for Playing unter den Namen N. B. Bailey und Keoki E. Awai. Die zeitgenössische Music Trade Review bezeichnete die Ukulele Solos ausdrücklich als von Bailey und Awai herausgegeben. Das 71-seitige Werk erschien für C- und D-Stimmung und verband Standardnotation, Akkorddiagramme und eine an italienischer Lautentabulatur orientierte Darstellung. Damit ging die Zusammenarbeit deutlich über eine bloße Nennung Awais im Umfeld Baileys hinaus: Beide wurden als verantwortliche Bearbeiter beziehungsweise Autoren desselben Lehr- und Repertoirewerks präsentiert.</w:t>
      </w:r>
      <w:r>
        <w:footnoteReference w:id="23"/>
      </w:r>
    </w:p>
    <w:p>
      <w:pPr>
        <w:keepNext w:val="0"/>
        <w:spacing w:line="360" w:lineRule="auto" w:after="140"/>
        <w:jc w:val="both"/>
      </w:pPr>
      <w:r>
        <w:rPr>
          <w:rFonts w:ascii="Garamond" w:hAnsi="Garamond"/>
          <w:sz w:val="24"/>
        </w:rPr>
        <w:t>Historisch lässt sich diese Kooperation als Verbindung zweier Erfahrungsbereiche verstehen: Awai brachte die Perspektive eines hawaiianischen Berufsmusikers und Komponisten ein, Bailey die bereits erprobte Form eines systematisch aufgebauten Selbstunterrichtswerks im Vertriebsnetz von Sherman, Clay &amp; Co. Die genaue Arbeitsteilung ist in den derzeit bekannten Quellen nicht festgehalten. Deshalb bleibt diese Funktionszuordnung eine begründete Interpretation und darf nicht als vertraglich belegte Rollenverteilung ausgegeben werden.</w:t>
      </w:r>
    </w:p>
    <w:p>
      <w:pPr>
        <w:keepNext w:val="0"/>
        <w:spacing w:line="360" w:lineRule="auto" w:after="140"/>
        <w:jc w:val="both"/>
      </w:pPr>
      <w:r>
        <w:rPr>
          <w:rFonts w:ascii="Garamond" w:hAnsi="Garamond"/>
          <w:sz w:val="24"/>
        </w:rPr>
        <w:t>Die zeitliche Folge ist dennoch aussagekräftig: Awai trat 1915 im PPIE-Umfeld auf; 1916 erschien das gemeinsame Werk bei dem Musikhaus, mit dem Bailey verbunden war. Die Kooperation stellt somit eine belastbarere Brücke zwischen der Ausstellung, hawaiianischer Aufführungspraxis und dem Festlandmarkt dar als die bisher unbelegte Annahme, Bailey selbst habe auf der PPIE mitgewirkt. Songs from Aloha Land erschien ebenfalls 1916, wird in den geprüften bibliografischen Nachweisen jedoch Bailey als Arrangeur zugeschrieben; daraus folgt keine gemeinsame Autorschaft Awais an dieser Sammlung.</w:t>
      </w:r>
    </w:p>
    <w:p>
      <w:pPr>
        <w:pStyle w:val="Heading2"/>
        <w:keepNext/>
      </w:pPr>
      <w:r>
        <w:rPr>
          <w:rFonts w:ascii="Garamond" w:hAnsi="Garamond"/>
          <w:b/>
          <w:color w:val="000000"/>
          <w:sz w:val="26"/>
        </w:rPr>
        <w:t>Krieg Pandemie und wirtschaftliche Unsicherheit</w:t>
      </w:r>
    </w:p>
    <w:p>
      <w:pPr>
        <w:keepNext w:val="0"/>
        <w:spacing w:line="360" w:lineRule="auto" w:after="140"/>
        <w:jc w:val="both"/>
      </w:pPr>
      <w:r>
        <w:rPr>
          <w:rFonts w:ascii="Garamond" w:hAnsi="Garamond"/>
          <w:sz w:val="24"/>
        </w:rPr>
        <w:t>Der Eintritt der Vereinigten Staaten in den Ersten Weltkrieg 1917 und die Influenza-Pandemie von 1918 trafen San Francisco in denselben Jahren, in denen Nelson im Musikhandel arbeitete und die ersten getrennten Anschriften von Nelson und Addie sichtbar werden. Die Pandemie führte landesweit zu massiver Erkrankung und Sterblichkeit; zeitgenössische Fotografien und Akten dokumentieren Masken und Schutzmaßnahmen im öffentlichen Leben. Für Nelson, Addie oder Maude ist jedoch weder eine Erkrankung noch ein persönlicher Verlust belegt.</w:t>
      </w:r>
      <w:r>
        <w:footnoteReference w:id="24"/>
      </w:r>
    </w:p>
    <w:p>
      <w:pPr>
        <w:keepNext w:val="0"/>
        <w:spacing w:line="360" w:lineRule="auto" w:after="140"/>
        <w:jc w:val="both"/>
      </w:pPr>
      <w:r>
        <w:rPr>
          <w:rFonts w:ascii="Garamond" w:hAnsi="Garamond"/>
          <w:sz w:val="24"/>
        </w:rPr>
        <w:t>Auch die wirtschaftlichen Schwankungen der Zwischenkriegszeit bildeten nur den äußeren Rahmen ihrer Lebenswege. Der Wechsel von Nelsons Anschriften, die Trennung des ersten Ehepaars und der spätere Umzug nach Santa Rosa dürfen nicht automatisch mit Krieg, Pandemie oder Konjunktur erklärt werden. Zeitgeschichte macht ihre Umwelt verständlicher; sie ersetzt keine individuelle Quelle.</w:t>
      </w:r>
    </w:p>
    <w:p>
      <w:pPr>
        <w:pStyle w:val="Heading1"/>
        <w:keepNext/>
      </w:pPr>
      <w:r>
        <w:rPr>
          <w:rFonts w:ascii="Garamond" w:hAnsi="Garamond"/>
          <w:b/>
          <w:color w:val="000000"/>
          <w:sz w:val="32"/>
        </w:rPr>
        <w:t>10 Drei verbundene und doch eigenständige Biografien</w:t>
      </w:r>
    </w:p>
    <w:p>
      <w:pPr>
        <w:keepNext w:val="0"/>
        <w:spacing w:line="360" w:lineRule="auto" w:after="140"/>
        <w:jc w:val="both"/>
      </w:pPr>
      <w:r>
        <w:rPr>
          <w:rFonts w:ascii="Garamond" w:hAnsi="Garamond"/>
          <w:sz w:val="24"/>
        </w:rPr>
        <w:t>Nelsons Biografie ist die Geschichte eines Musikpraktikers, der sich zwischen Handel, Pädagogik, Veröffentlichung und Technik bewegte. Sein Name blieb vor allem auf Druckwerken und Patenten erhalten. Die Zusammenarbeit mit Keoki E. Awai zeigt zugleich, dass seine Lehr- und Verlagsarbeit in einem Netzwerk hawaiianischer Musiker und des San-Francisco-Musikhandels stand. Addies Biografie ist die Geschichte einer Frau, deren langes Leben nach der Scheidung in einer bemerkenswert stabilen San-Francisco-Adresse sichtbar wird, während Beruf, Tod und persönliche Beziehungen im Dunkeln bleiben. Maudes Biografie ist die Geschichte einer Witwe, die 1921 erneut heiratete, Nelson bis zu dessen Tod begleitete und danach aus den sicher identifizierbaren Quellen verschwindet.</w:t>
      </w:r>
    </w:p>
    <w:p>
      <w:pPr>
        <w:keepNext w:val="0"/>
        <w:spacing w:line="360" w:lineRule="auto" w:after="140"/>
        <w:jc w:val="both"/>
      </w:pPr>
      <w:r>
        <w:rPr>
          <w:rFonts w:ascii="Garamond" w:hAnsi="Garamond"/>
          <w:sz w:val="24"/>
        </w:rPr>
        <w:t>Zusammengenommen zeigen die drei Lebenswege mehr als eine Familienfolge. Sie veranschaulichen, wie unterschiedlich Menschen in den Quellen erscheinen: der Mann über Produktion und Beruf, die Frauen über Ehe, Witwenstand und Adresse. Eine quellenkritische Biografie darf diese Ungleichheit nicht durch erfundene Innensichten ausgleichen. Sie kann aber die wenigen sicheren Spuren ernst nehmen und Addie und Maude aus der Randposition bloßer Ehefrauen lösen.</w:t>
      </w:r>
    </w:p>
    <w:p>
      <w:pPr>
        <w:pStyle w:val="Quote"/>
        <w:spacing w:before="80" w:after="160" w:line="276" w:lineRule="auto"/>
        <w:ind w:left="504" w:right="360"/>
      </w:pPr>
      <w:r>
        <w:rPr>
          <w:rFonts w:ascii="Garamond" w:hAnsi="Garamond"/>
          <w:i/>
          <w:color w:val="464646"/>
          <w:sz w:val="22"/>
        </w:rPr>
        <w:t>Das wichtigste Ergebnis lautet daher: Die Familiengeschichte Nelson Burdette Baileys besteht nicht aus einem alleinigen männlichen Lebenslauf mit zwei Nebenfiguren. Sie besteht aus drei Biografien mit sehr unterschiedlicher Überlieferungsdichte.</w:t>
      </w:r>
    </w:p>
    <w:p>
      <w:pPr>
        <w:pStyle w:val="Heading1"/>
        <w:keepNext/>
      </w:pPr>
      <w:r>
        <w:rPr>
          <w:rFonts w:ascii="Garamond" w:hAnsi="Garamond"/>
          <w:b/>
          <w:color w:val="000000"/>
          <w:sz w:val="32"/>
        </w:rPr>
        <w:t>11 Gemeinsame Chronologie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64"/>
        <w:gridCol w:w="3264"/>
        <w:gridCol w:w="3264"/>
      </w:tblGrid>
      <w:tr>
        <w:trPr>
          <w:tblHeader w:val="true"/>
        </w:trPr>
        <w:tc>
          <w:tcPr>
            <w:tcW w:type="dxa" w:w="1800"/>
            <w:shd w:fill="DCE6F1"/>
            <w:tcMar>
              <w:top w:w="90" w:type="dxa"/>
              <w:start w:w="110" w:type="dxa"/>
              <w:bottom w:w="90" w:type="dxa"/>
              <w:end w:w="110" w:type="dxa"/>
            </w:tcMar>
          </w:tcPr>
          <w:p>
            <w:r>
              <w:rPr>
                <w:rFonts w:ascii="Garamond" w:hAnsi="Garamond"/>
                <w:b/>
                <w:sz w:val="20"/>
              </w:rPr>
              <w:t>Datum</w:t>
            </w:r>
          </w:p>
        </w:tc>
        <w:tc>
          <w:tcPr>
            <w:tcW w:type="dxa" w:w="2088"/>
            <w:shd w:fill="DCE6F1"/>
            <w:tcMar>
              <w:top w:w="90" w:type="dxa"/>
              <w:start w:w="110" w:type="dxa"/>
              <w:bottom w:w="90" w:type="dxa"/>
              <w:end w:w="110" w:type="dxa"/>
            </w:tcMar>
          </w:tcPr>
          <w:p>
            <w:r>
              <w:rPr>
                <w:rFonts w:ascii="Garamond" w:hAnsi="Garamond"/>
                <w:b/>
                <w:sz w:val="20"/>
              </w:rPr>
              <w:t>Person</w:t>
            </w:r>
          </w:p>
        </w:tc>
        <w:tc>
          <w:tcPr>
            <w:tcW w:type="dxa" w:w="5904"/>
            <w:shd w:fill="DCE6F1"/>
            <w:tcMar>
              <w:top w:w="90" w:type="dxa"/>
              <w:start w:w="110" w:type="dxa"/>
              <w:bottom w:w="90" w:type="dxa"/>
              <w:end w:w="110" w:type="dxa"/>
            </w:tcMar>
          </w:tcPr>
          <w:p>
            <w:r>
              <w:rPr>
                <w:rFonts w:ascii="Garamond" w:hAnsi="Garamond"/>
                <w:b/>
                <w:sz w:val="20"/>
              </w:rPr>
              <w:t>Belegter Vorgang oder Quellenstatus</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20 Juli 1874</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Nelson</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Geburt in Gustavus, Ohio, nach dem genealogischen Quellenindex; Tagesangabe im 1909er Textbestand widersprüchlich.</w:t>
            </w:r>
          </w:p>
        </w:tc>
      </w:tr>
      <w:tr>
        <w:tc>
          <w:tcPr>
            <w:tcW w:type="dxa" w:w="1800"/>
            <w:tcMar>
              <w:top w:w="90" w:type="dxa"/>
              <w:start w:w="110" w:type="dxa"/>
              <w:bottom w:w="90" w:type="dxa"/>
              <w:end w:w="110" w:type="dxa"/>
            </w:tcMar>
            <w:vAlign w:val="top"/>
            <w:shd w:fill="F7F9FC"/>
          </w:tcPr>
          <w:p>
            <w:pPr>
              <w:spacing w:after="0" w:line="252" w:lineRule="auto"/>
            </w:pPr>
            <w:r>
              <w:rPr>
                <w:rFonts w:ascii="Garamond" w:hAnsi="Garamond"/>
                <w:sz w:val="18"/>
              </w:rPr>
              <w:t>11 Juni 1880</w:t>
            </w:r>
          </w:p>
        </w:tc>
        <w:tc>
          <w:tcPr>
            <w:tcW w:type="dxa" w:w="2088"/>
            <w:tcMar>
              <w:top w:w="90" w:type="dxa"/>
              <w:start w:w="110" w:type="dxa"/>
              <w:bottom w:w="90" w:type="dxa"/>
              <w:end w:w="110" w:type="dxa"/>
            </w:tcMar>
            <w:vAlign w:val="top"/>
            <w:shd w:fill="F7F9FC"/>
          </w:tcPr>
          <w:p>
            <w:pPr>
              <w:spacing w:after="0" w:line="252" w:lineRule="auto"/>
            </w:pPr>
            <w:r>
              <w:rPr>
                <w:rFonts w:ascii="Garamond" w:hAnsi="Garamond"/>
                <w:sz w:val="18"/>
              </w:rPr>
              <w:t>Addie</w:t>
            </w:r>
          </w:p>
        </w:tc>
        <w:tc>
          <w:tcPr>
            <w:tcW w:type="dxa" w:w="5904"/>
            <w:tcMar>
              <w:top w:w="90" w:type="dxa"/>
              <w:start w:w="110" w:type="dxa"/>
              <w:bottom w:w="90" w:type="dxa"/>
              <w:end w:w="110" w:type="dxa"/>
            </w:tcMar>
            <w:vAlign w:val="top"/>
            <w:shd w:fill="F7F9FC"/>
          </w:tcPr>
          <w:p>
            <w:pPr>
              <w:spacing w:after="0" w:line="252" w:lineRule="auto"/>
            </w:pPr>
            <w:r>
              <w:rPr>
                <w:rFonts w:ascii="Garamond" w:hAnsi="Garamond"/>
                <w:sz w:val="18"/>
              </w:rPr>
              <w:t>Nur sekundär überliefertes Geburtsdatum; Originalregister noch nicht geprüft.</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31 August 1904</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Nelson und Addie</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Heirat in Mahoning County, Ohio.</w:t>
            </w:r>
          </w:p>
        </w:tc>
      </w:tr>
      <w:tr>
        <w:tc>
          <w:tcPr>
            <w:tcW w:type="dxa" w:w="1800"/>
            <w:tcMar>
              <w:top w:w="90" w:type="dxa"/>
              <w:start w:w="110" w:type="dxa"/>
              <w:bottom w:w="90" w:type="dxa"/>
              <w:end w:w="110" w:type="dxa"/>
            </w:tcMar>
            <w:vAlign w:val="top"/>
            <w:shd w:fill="F7F9FC"/>
          </w:tcPr>
          <w:p>
            <w:pPr>
              <w:spacing w:after="0" w:line="252" w:lineRule="auto"/>
            </w:pPr>
            <w:r>
              <w:rPr>
                <w:rFonts w:ascii="Garamond" w:hAnsi="Garamond"/>
                <w:sz w:val="18"/>
              </w:rPr>
              <w:t>18 April 1906</w:t>
            </w:r>
          </w:p>
        </w:tc>
        <w:tc>
          <w:tcPr>
            <w:tcW w:type="dxa" w:w="2088"/>
            <w:tcMar>
              <w:top w:w="90" w:type="dxa"/>
              <w:start w:w="110" w:type="dxa"/>
              <w:bottom w:w="90" w:type="dxa"/>
              <w:end w:w="110" w:type="dxa"/>
            </w:tcMar>
            <w:vAlign w:val="top"/>
            <w:shd w:fill="F7F9FC"/>
          </w:tcPr>
          <w:p>
            <w:pPr>
              <w:spacing w:after="0" w:line="252" w:lineRule="auto"/>
            </w:pPr>
            <w:r>
              <w:rPr>
                <w:rFonts w:ascii="Garamond" w:hAnsi="Garamond"/>
                <w:sz w:val="18"/>
              </w:rPr>
              <w:t>Zeitkontext</w:t>
            </w:r>
          </w:p>
        </w:tc>
        <w:tc>
          <w:tcPr>
            <w:tcW w:type="dxa" w:w="5904"/>
            <w:tcMar>
              <w:top w:w="90" w:type="dxa"/>
              <w:start w:w="110" w:type="dxa"/>
              <w:bottom w:w="90" w:type="dxa"/>
              <w:end w:w="110" w:type="dxa"/>
            </w:tcMar>
            <w:vAlign w:val="top"/>
            <w:shd w:fill="F7F9FC"/>
          </w:tcPr>
          <w:p>
            <w:pPr>
              <w:spacing w:after="0" w:line="252" w:lineRule="auto"/>
            </w:pPr>
            <w:r>
              <w:rPr>
                <w:rFonts w:ascii="Garamond" w:hAnsi="Garamond"/>
                <w:sz w:val="18"/>
              </w:rPr>
              <w:t>Erdbeben und Brände zerstören große Teile San Franciscos; Nelson und Addie sind zu dieser Zeit nicht als Einwohner der Stadt belegt.</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1910</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Nelson und Addie</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Haushalt in Youngstown im Zensus beziehungsweise in der genealogischen Verknüpfung.</w:t>
            </w:r>
          </w:p>
        </w:tc>
      </w:tr>
      <w:tr>
        <w:tc>
          <w:tcPr>
            <w:tcW w:type="dxa" w:w="1800"/>
            <w:tcMar>
              <w:top w:w="90" w:type="dxa"/>
              <w:start w:w="110" w:type="dxa"/>
              <w:bottom w:w="90" w:type="dxa"/>
              <w:end w:w="110" w:type="dxa"/>
            </w:tcMar>
            <w:vAlign w:val="top"/>
            <w:shd w:fill="F7F9FC"/>
          </w:tcPr>
          <w:p>
            <w:pPr>
              <w:spacing w:after="0" w:line="252" w:lineRule="auto"/>
            </w:pPr>
            <w:r>
              <w:rPr>
                <w:rFonts w:ascii="Garamond" w:hAnsi="Garamond"/>
                <w:sz w:val="18"/>
              </w:rPr>
              <w:t>1913 bis 1919</w:t>
            </w:r>
          </w:p>
        </w:tc>
        <w:tc>
          <w:tcPr>
            <w:tcW w:type="dxa" w:w="2088"/>
            <w:tcMar>
              <w:top w:w="90" w:type="dxa"/>
              <w:start w:w="110" w:type="dxa"/>
              <w:bottom w:w="90" w:type="dxa"/>
              <w:end w:w="110" w:type="dxa"/>
            </w:tcMar>
            <w:vAlign w:val="top"/>
            <w:shd w:fill="F7F9FC"/>
          </w:tcPr>
          <w:p>
            <w:pPr>
              <w:spacing w:after="0" w:line="252" w:lineRule="auto"/>
            </w:pPr>
            <w:r>
              <w:rPr>
                <w:rFonts w:ascii="Garamond" w:hAnsi="Garamond"/>
                <w:sz w:val="18"/>
              </w:rPr>
              <w:t>Nelson</w:t>
            </w:r>
          </w:p>
        </w:tc>
        <w:tc>
          <w:tcPr>
            <w:tcW w:type="dxa" w:w="5904"/>
            <w:tcMar>
              <w:top w:w="90" w:type="dxa"/>
              <w:start w:w="110" w:type="dxa"/>
              <w:bottom w:w="90" w:type="dxa"/>
              <w:end w:w="110" w:type="dxa"/>
            </w:tcMar>
            <w:vAlign w:val="top"/>
            <w:shd w:fill="F7F9FC"/>
          </w:tcPr>
          <w:p>
            <w:pPr>
              <w:spacing w:after="0" w:line="252" w:lineRule="auto"/>
            </w:pPr>
            <w:r>
              <w:rPr>
                <w:rFonts w:ascii="Garamond" w:hAnsi="Garamond"/>
                <w:sz w:val="18"/>
              </w:rPr>
              <w:t>Jährliche San-Francisco-Adressbucheinträge mit Sherman, Clay &amp; Co.</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1914</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Nelson</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Copyright und Veröffentlichung der Practical Method for Self Instruction on the Ukulele.</w:t>
            </w:r>
          </w:p>
        </w:tc>
      </w:tr>
      <w:tr>
        <w:tc>
          <w:tcPr>
            <w:tcW w:type="dxa" w:w="1800"/>
            <w:tcMar>
              <w:top w:w="90" w:type="dxa"/>
              <w:start w:w="110" w:type="dxa"/>
              <w:bottom w:w="90" w:type="dxa"/>
              <w:end w:w="110" w:type="dxa"/>
            </w:tcMar>
            <w:vAlign w:val="top"/>
            <w:shd w:fill="F7F9FC"/>
          </w:tcPr>
          <w:p>
            <w:pPr>
              <w:spacing w:after="0" w:line="252" w:lineRule="auto"/>
            </w:pPr>
            <w:r>
              <w:rPr>
                <w:rFonts w:ascii="Garamond" w:hAnsi="Garamond"/>
                <w:sz w:val="18"/>
              </w:rPr>
              <w:t>20 Februar bis 4 Dezember 1915</w:t>
            </w:r>
          </w:p>
        </w:tc>
        <w:tc>
          <w:tcPr>
            <w:tcW w:type="dxa" w:w="2088"/>
            <w:tcMar>
              <w:top w:w="90" w:type="dxa"/>
              <w:start w:w="110" w:type="dxa"/>
              <w:bottom w:w="90" w:type="dxa"/>
              <w:end w:w="110" w:type="dxa"/>
            </w:tcMar>
            <w:vAlign w:val="top"/>
            <w:shd w:fill="F7F9FC"/>
          </w:tcPr>
          <w:p>
            <w:pPr>
              <w:spacing w:after="0" w:line="252" w:lineRule="auto"/>
            </w:pPr>
            <w:r>
              <w:rPr>
                <w:rFonts w:ascii="Garamond" w:hAnsi="Garamond"/>
                <w:sz w:val="18"/>
              </w:rPr>
              <w:t>Zeitkontext und Awai</w:t>
            </w:r>
          </w:p>
        </w:tc>
        <w:tc>
          <w:tcPr>
            <w:tcW w:type="dxa" w:w="5904"/>
            <w:tcMar>
              <w:top w:w="90" w:type="dxa"/>
              <w:start w:w="110" w:type="dxa"/>
              <w:bottom w:w="90" w:type="dxa"/>
              <w:end w:w="110" w:type="dxa"/>
            </w:tcMar>
            <w:vAlign w:val="top"/>
            <w:shd w:fill="F7F9FC"/>
          </w:tcPr>
          <w:p>
            <w:pPr>
              <w:spacing w:after="0" w:line="252" w:lineRule="auto"/>
            </w:pPr>
            <w:r>
              <w:rPr>
                <w:rFonts w:ascii="Garamond" w:hAnsi="Garamond"/>
                <w:sz w:val="18"/>
              </w:rPr>
              <w:t>PPIE in San Francisco; Nelson ist im Umfeld von Sherman, Clay &amp; Co. belegt. Awai trat nach der musikhistorischen Forschung dort auf; eine Mitwirkung Nelsons oder Addies ist nicht belegt.</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1916</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Nelson und Addie</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Gemeinsamer Adressbucheintrag unter 1215 Third Avenue.</w:t>
            </w:r>
          </w:p>
        </w:tc>
      </w:tr>
      <w:tr>
        <w:tc>
          <w:tcPr>
            <w:tcW w:type="dxa" w:w="1800"/>
            <w:tcMar>
              <w:top w:w="90" w:type="dxa"/>
              <w:start w:w="110" w:type="dxa"/>
              <w:bottom w:w="90" w:type="dxa"/>
              <w:end w:w="110" w:type="dxa"/>
            </w:tcMar>
            <w:vAlign w:val="top"/>
            <w:shd w:fill="F7F9FC"/>
          </w:tcPr>
          <w:p>
            <w:pPr>
              <w:spacing w:after="0" w:line="252" w:lineRule="auto"/>
            </w:pPr>
            <w:r>
              <w:rPr>
                <w:rFonts w:ascii="Garamond" w:hAnsi="Garamond"/>
                <w:sz w:val="18"/>
              </w:rPr>
              <w:t>1916</w:t>
            </w:r>
          </w:p>
        </w:tc>
        <w:tc>
          <w:tcPr>
            <w:tcW w:type="dxa" w:w="2088"/>
            <w:tcMar>
              <w:top w:w="90" w:type="dxa"/>
              <w:start w:w="110" w:type="dxa"/>
              <w:bottom w:w="90" w:type="dxa"/>
              <w:end w:w="110" w:type="dxa"/>
            </w:tcMar>
            <w:vAlign w:val="top"/>
            <w:shd w:fill="F7F9FC"/>
          </w:tcPr>
          <w:p>
            <w:pPr>
              <w:spacing w:after="0" w:line="252" w:lineRule="auto"/>
            </w:pPr>
            <w:r>
              <w:rPr>
                <w:rFonts w:ascii="Garamond" w:hAnsi="Garamond"/>
                <w:sz w:val="18"/>
              </w:rPr>
              <w:t>Nelson und Keoki Awai</w:t>
            </w:r>
          </w:p>
        </w:tc>
        <w:tc>
          <w:tcPr>
            <w:tcW w:type="dxa" w:w="5904"/>
            <w:tcMar>
              <w:top w:w="90" w:type="dxa"/>
              <w:start w:w="110" w:type="dxa"/>
              <w:bottom w:w="90" w:type="dxa"/>
              <w:end w:w="110" w:type="dxa"/>
            </w:tcMar>
            <w:vAlign w:val="top"/>
            <w:shd w:fill="F7F9FC"/>
          </w:tcPr>
          <w:p>
            <w:pPr>
              <w:spacing w:after="0" w:line="252" w:lineRule="auto"/>
            </w:pPr>
            <w:r>
              <w:rPr>
                <w:rFonts w:ascii="Garamond" w:hAnsi="Garamond"/>
                <w:sz w:val="18"/>
              </w:rPr>
              <w:t>Gemeinsame Veröffentlichung The Ukulele as a Solo Instrument bei Sherman, Clay &amp; Co.</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1917 und 1918</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Alle drei</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Kriegseintritt der USA und Influenza-Pandemie als Lebensumfeld; persönliche Folgen für Nelson, Addie oder Maude nicht belegt.</w:t>
            </w:r>
          </w:p>
        </w:tc>
      </w:tr>
      <w:tr>
        <w:tc>
          <w:tcPr>
            <w:tcW w:type="dxa" w:w="1800"/>
            <w:tcMar>
              <w:top w:w="90" w:type="dxa"/>
              <w:start w:w="110" w:type="dxa"/>
              <w:bottom w:w="90" w:type="dxa"/>
              <w:end w:w="110" w:type="dxa"/>
            </w:tcMar>
            <w:vAlign w:val="top"/>
            <w:shd w:fill="F7F9FC"/>
          </w:tcPr>
          <w:p>
            <w:pPr>
              <w:spacing w:after="0" w:line="252" w:lineRule="auto"/>
            </w:pPr>
            <w:r>
              <w:rPr>
                <w:rFonts w:ascii="Garamond" w:hAnsi="Garamond"/>
                <w:sz w:val="18"/>
              </w:rPr>
              <w:t>1918</w:t>
            </w:r>
          </w:p>
        </w:tc>
        <w:tc>
          <w:tcPr>
            <w:tcW w:type="dxa" w:w="2088"/>
            <w:tcMar>
              <w:top w:w="90" w:type="dxa"/>
              <w:start w:w="110" w:type="dxa"/>
              <w:bottom w:w="90" w:type="dxa"/>
              <w:end w:w="110" w:type="dxa"/>
            </w:tcMar>
            <w:vAlign w:val="top"/>
            <w:shd w:fill="F7F9FC"/>
          </w:tcPr>
          <w:p>
            <w:pPr>
              <w:spacing w:after="0" w:line="252" w:lineRule="auto"/>
            </w:pPr>
            <w:r>
              <w:rPr>
                <w:rFonts w:ascii="Garamond" w:hAnsi="Garamond"/>
                <w:sz w:val="18"/>
              </w:rPr>
              <w:t>Nelson und Addie</w:t>
            </w:r>
          </w:p>
        </w:tc>
        <w:tc>
          <w:tcPr>
            <w:tcW w:type="dxa" w:w="5904"/>
            <w:tcMar>
              <w:top w:w="90" w:type="dxa"/>
              <w:start w:w="110" w:type="dxa"/>
              <w:bottom w:w="90" w:type="dxa"/>
              <w:end w:w="110" w:type="dxa"/>
            </w:tcMar>
            <w:vAlign w:val="top"/>
            <w:shd w:fill="F7F9FC"/>
          </w:tcPr>
          <w:p>
            <w:pPr>
              <w:spacing w:after="0" w:line="252" w:lineRule="auto"/>
            </w:pPr>
            <w:r>
              <w:rPr>
                <w:rFonts w:ascii="Garamond" w:hAnsi="Garamond"/>
                <w:sz w:val="18"/>
              </w:rPr>
              <w:t>Erste klar getrennte San-Francisco-Anschriften.</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1920</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Alle drei</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Addie an 685 Geary; Nelson und Maude beide unter 1143 Larkin.</w:t>
            </w:r>
          </w:p>
        </w:tc>
      </w:tr>
      <w:tr>
        <w:tc>
          <w:tcPr>
            <w:tcW w:type="dxa" w:w="1800"/>
            <w:tcMar>
              <w:top w:w="90" w:type="dxa"/>
              <w:start w:w="110" w:type="dxa"/>
              <w:bottom w:w="90" w:type="dxa"/>
              <w:end w:w="110" w:type="dxa"/>
            </w:tcMar>
            <w:vAlign w:val="top"/>
            <w:shd w:fill="F7F9FC"/>
          </w:tcPr>
          <w:p>
            <w:pPr>
              <w:spacing w:after="0" w:line="252" w:lineRule="auto"/>
            </w:pPr>
            <w:r>
              <w:rPr>
                <w:rFonts w:ascii="Garamond" w:hAnsi="Garamond"/>
                <w:sz w:val="18"/>
              </w:rPr>
              <w:t>6 November 1921</w:t>
            </w:r>
          </w:p>
        </w:tc>
        <w:tc>
          <w:tcPr>
            <w:tcW w:type="dxa" w:w="2088"/>
            <w:tcMar>
              <w:top w:w="90" w:type="dxa"/>
              <w:start w:w="110" w:type="dxa"/>
              <w:bottom w:w="90" w:type="dxa"/>
              <w:end w:w="110" w:type="dxa"/>
            </w:tcMar>
            <w:vAlign w:val="top"/>
            <w:shd w:fill="F7F9FC"/>
          </w:tcPr>
          <w:p>
            <w:pPr>
              <w:spacing w:after="0" w:line="252" w:lineRule="auto"/>
            </w:pPr>
            <w:r>
              <w:rPr>
                <w:rFonts w:ascii="Garamond" w:hAnsi="Garamond"/>
                <w:sz w:val="18"/>
              </w:rPr>
              <w:t>Nelson und Maude</w:t>
            </w:r>
          </w:p>
        </w:tc>
        <w:tc>
          <w:tcPr>
            <w:tcW w:type="dxa" w:w="5904"/>
            <w:tcMar>
              <w:top w:w="90" w:type="dxa"/>
              <w:start w:w="110" w:type="dxa"/>
              <w:bottom w:w="90" w:type="dxa"/>
              <w:end w:w="110" w:type="dxa"/>
            </w:tcMar>
            <w:vAlign w:val="top"/>
            <w:shd w:fill="F7F9FC"/>
          </w:tcPr>
          <w:p>
            <w:pPr>
              <w:spacing w:after="0" w:line="252" w:lineRule="auto"/>
            </w:pPr>
            <w:r>
              <w:rPr>
                <w:rFonts w:ascii="Garamond" w:hAnsi="Garamond"/>
                <w:sz w:val="18"/>
              </w:rPr>
              <w:t>Heirat in San Francisco; Nelson geschieden, Maude verwitwet.</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1928 und 1929</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Nelson</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Erteilung der Patente für Hanger und Musical-Instrument Mouthpiece.</w:t>
            </w:r>
          </w:p>
        </w:tc>
      </w:tr>
      <w:tr>
        <w:tc>
          <w:tcPr>
            <w:tcW w:type="dxa" w:w="1800"/>
            <w:tcMar>
              <w:top w:w="90" w:type="dxa"/>
              <w:start w:w="110" w:type="dxa"/>
              <w:bottom w:w="90" w:type="dxa"/>
              <w:end w:w="110" w:type="dxa"/>
            </w:tcMar>
            <w:vAlign w:val="top"/>
            <w:shd w:fill="F7F9FC"/>
          </w:tcPr>
          <w:p>
            <w:pPr>
              <w:spacing w:after="0" w:line="252" w:lineRule="auto"/>
            </w:pPr>
            <w:r>
              <w:rPr>
                <w:rFonts w:ascii="Garamond" w:hAnsi="Garamond"/>
                <w:sz w:val="18"/>
              </w:rPr>
              <w:t>23 Juli 1948</w:t>
            </w:r>
          </w:p>
        </w:tc>
        <w:tc>
          <w:tcPr>
            <w:tcW w:type="dxa" w:w="2088"/>
            <w:tcMar>
              <w:top w:w="90" w:type="dxa"/>
              <w:start w:w="110" w:type="dxa"/>
              <w:bottom w:w="90" w:type="dxa"/>
              <w:end w:w="110" w:type="dxa"/>
            </w:tcMar>
            <w:vAlign w:val="top"/>
            <w:shd w:fill="F7F9FC"/>
          </w:tcPr>
          <w:p>
            <w:pPr>
              <w:spacing w:after="0" w:line="252" w:lineRule="auto"/>
            </w:pPr>
            <w:r>
              <w:rPr>
                <w:rFonts w:ascii="Garamond" w:hAnsi="Garamond"/>
                <w:sz w:val="18"/>
              </w:rPr>
              <w:t>Nelson und Maude</w:t>
            </w:r>
          </w:p>
        </w:tc>
        <w:tc>
          <w:tcPr>
            <w:tcW w:type="dxa" w:w="5904"/>
            <w:tcMar>
              <w:top w:w="90" w:type="dxa"/>
              <w:start w:w="110" w:type="dxa"/>
              <w:bottom w:w="90" w:type="dxa"/>
              <w:end w:w="110" w:type="dxa"/>
            </w:tcMar>
            <w:vAlign w:val="top"/>
            <w:shd w:fill="F7F9FC"/>
          </w:tcPr>
          <w:p>
            <w:pPr>
              <w:spacing w:after="0" w:line="252" w:lineRule="auto"/>
            </w:pPr>
            <w:r>
              <w:rPr>
                <w:rFonts w:ascii="Garamond" w:hAnsi="Garamond"/>
                <w:sz w:val="18"/>
              </w:rPr>
              <w:t>Nelsons Tod in Santa Rosa; Todesanzeige nennt Maude als Ehefrau.</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1954 bis 1971</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Addie</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Wiederholte Adressbucheinträge unter 685 Geary, Apartment 305.</w:t>
            </w:r>
          </w:p>
        </w:tc>
      </w:tr>
      <w:tr>
        <w:tc>
          <w:tcPr>
            <w:tcW w:type="dxa" w:w="1800"/>
            <w:tcMar>
              <w:top w:w="90" w:type="dxa"/>
              <w:start w:w="110" w:type="dxa"/>
              <w:bottom w:w="90" w:type="dxa"/>
              <w:end w:w="110" w:type="dxa"/>
            </w:tcMar>
            <w:vAlign w:val="top"/>
            <w:shd w:fill="F7F9FC"/>
          </w:tcPr>
          <w:p>
            <w:pPr>
              <w:spacing w:after="0" w:line="252" w:lineRule="auto"/>
            </w:pPr>
            <w:r>
              <w:rPr>
                <w:rFonts w:ascii="Garamond" w:hAnsi="Garamond"/>
                <w:sz w:val="18"/>
              </w:rPr>
              <w:t>April 1950</w:t>
            </w:r>
          </w:p>
        </w:tc>
        <w:tc>
          <w:tcPr>
            <w:tcW w:type="dxa" w:w="2088"/>
            <w:tcMar>
              <w:top w:w="90" w:type="dxa"/>
              <w:start w:w="110" w:type="dxa"/>
              <w:bottom w:w="90" w:type="dxa"/>
              <w:end w:w="110" w:type="dxa"/>
            </w:tcMar>
            <w:vAlign w:val="top"/>
            <w:shd w:fill="F7F9FC"/>
          </w:tcPr>
          <w:p>
            <w:pPr>
              <w:spacing w:after="0" w:line="252" w:lineRule="auto"/>
            </w:pPr>
            <w:r>
              <w:rPr>
                <w:rFonts w:ascii="Garamond" w:hAnsi="Garamond"/>
                <w:sz w:val="18"/>
              </w:rPr>
              <w:t>Maude</w:t>
            </w:r>
          </w:p>
        </w:tc>
        <w:tc>
          <w:tcPr>
            <w:tcW w:type="dxa" w:w="5904"/>
            <w:tcMar>
              <w:top w:w="90" w:type="dxa"/>
              <w:start w:w="110" w:type="dxa"/>
              <w:bottom w:w="90" w:type="dxa"/>
              <w:end w:w="110" w:type="dxa"/>
            </w:tcMar>
            <w:vAlign w:val="top"/>
            <w:shd w:fill="F7F9FC"/>
          </w:tcPr>
          <w:p>
            <w:pPr>
              <w:spacing w:after="0" w:line="252" w:lineRule="auto"/>
            </w:pPr>
            <w:r>
              <w:rPr>
                <w:rFonts w:ascii="Garamond" w:hAnsi="Garamond"/>
                <w:sz w:val="18"/>
              </w:rPr>
              <w:t>Kein eindeutiger Treffer im geprüften Zensusbezirk der früheren Santa-Rosa-Adresse.</w:t>
            </w:r>
          </w:p>
        </w:tc>
      </w:tr>
      <w:tr>
        <w:tc>
          <w:tcPr>
            <w:tcW w:type="dxa" w:w="1800"/>
            <w:tcMar>
              <w:top w:w="90" w:type="dxa"/>
              <w:start w:w="110" w:type="dxa"/>
              <w:bottom w:w="90" w:type="dxa"/>
              <w:end w:w="110" w:type="dxa"/>
            </w:tcMar>
            <w:vAlign w:val="top"/>
          </w:tcPr>
          <w:p>
            <w:pPr>
              <w:spacing w:after="0" w:line="252" w:lineRule="auto"/>
            </w:pPr>
            <w:r>
              <w:rPr>
                <w:rFonts w:ascii="Garamond" w:hAnsi="Garamond"/>
                <w:sz w:val="18"/>
              </w:rPr>
              <w:t>1972 und 1973</w:t>
            </w:r>
          </w:p>
        </w:tc>
        <w:tc>
          <w:tcPr>
            <w:tcW w:type="dxa" w:w="2088"/>
            <w:tcMar>
              <w:top w:w="90" w:type="dxa"/>
              <w:start w:w="110" w:type="dxa"/>
              <w:bottom w:w="90" w:type="dxa"/>
              <w:end w:w="110" w:type="dxa"/>
            </w:tcMar>
            <w:vAlign w:val="top"/>
          </w:tcPr>
          <w:p>
            <w:pPr>
              <w:spacing w:after="0" w:line="252" w:lineRule="auto"/>
            </w:pPr>
            <w:r>
              <w:rPr>
                <w:rFonts w:ascii="Garamond" w:hAnsi="Garamond"/>
                <w:sz w:val="18"/>
              </w:rPr>
              <w:t>Addie</w:t>
            </w:r>
          </w:p>
        </w:tc>
        <w:tc>
          <w:tcPr>
            <w:tcW w:type="dxa" w:w="5904"/>
            <w:tcMar>
              <w:top w:w="90" w:type="dxa"/>
              <w:start w:w="110" w:type="dxa"/>
              <w:bottom w:w="90" w:type="dxa"/>
              <w:end w:w="110" w:type="dxa"/>
            </w:tcMar>
            <w:vAlign w:val="top"/>
          </w:tcPr>
          <w:p>
            <w:pPr>
              <w:spacing w:after="0" w:line="252" w:lineRule="auto"/>
            </w:pPr>
            <w:r>
              <w:rPr>
                <w:rFonts w:ascii="Garamond" w:hAnsi="Garamond"/>
                <w:sz w:val="18"/>
              </w:rPr>
              <w:t>Nicht mehr unter 685 Geary verzeichnet; kein sicherer Todesnachweis.</w:t>
            </w:r>
          </w:p>
        </w:tc>
      </w:tr>
    </w:tbl>
    <w:p>
      <w:pPr>
        <w:pStyle w:val="Heading1"/>
        <w:keepNext/>
      </w:pPr>
      <w:r>
        <w:rPr>
          <w:rFonts w:ascii="Garamond" w:hAnsi="Garamond"/>
          <w:b/>
          <w:color w:val="000000"/>
          <w:sz w:val="32"/>
        </w:rPr>
        <w:t>12 Offene Forschungsfragen</w:t>
      </w:r>
    </w:p>
    <w:p>
      <w:pPr>
        <w:pStyle w:val="ListBullet"/>
        <w:spacing w:line="300" w:lineRule="auto" w:after="80"/>
      </w:pPr>
      <w:r>
        <w:rPr>
          <w:rFonts w:ascii="Garamond" w:hAnsi="Garamond"/>
          <w:sz w:val="23"/>
        </w:rPr>
        <w:t>Originalbild des Geburtsregisters von Nelson prüfen und den Konflikt 2 oder 20 Juli 1874 endgültig klären.</w:t>
      </w:r>
    </w:p>
    <w:p>
      <w:pPr>
        <w:pStyle w:val="ListBullet"/>
        <w:spacing w:line="300" w:lineRule="auto" w:after="80"/>
      </w:pPr>
      <w:r>
        <w:rPr>
          <w:rFonts w:ascii="Garamond" w:hAnsi="Garamond"/>
          <w:sz w:val="23"/>
        </w:rPr>
        <w:t>Scheidungsindex und Scheidungsakte von Nelson und Addie für den Zeitraum 1918 bis 6 November 1921 ermitteln.</w:t>
      </w:r>
    </w:p>
    <w:p>
      <w:pPr>
        <w:pStyle w:val="ListBullet"/>
        <w:spacing w:line="300" w:lineRule="auto" w:after="80"/>
      </w:pPr>
      <w:r>
        <w:rPr>
          <w:rFonts w:ascii="Garamond" w:hAnsi="Garamond"/>
          <w:sz w:val="23"/>
        </w:rPr>
        <w:t>Originalzählung von 1910 vollständig auf Ehedauer sowie geborene und lebende Kinder prüfen.</w:t>
      </w:r>
    </w:p>
    <w:p>
      <w:pPr>
        <w:pStyle w:val="ListBullet"/>
        <w:spacing w:line="300" w:lineRule="auto" w:after="80"/>
      </w:pPr>
      <w:r>
        <w:rPr>
          <w:rFonts w:ascii="Garamond" w:hAnsi="Garamond"/>
          <w:sz w:val="23"/>
        </w:rPr>
        <w:t>Addies Geburts- und Sterbeurkunde beziehungsweise einen Nachruf auffinden; zunächst 1971 bis 1973 untersuchen.</w:t>
      </w:r>
    </w:p>
    <w:p>
      <w:pPr>
        <w:pStyle w:val="ListBullet"/>
        <w:spacing w:line="300" w:lineRule="auto" w:after="80"/>
      </w:pPr>
      <w:r>
        <w:rPr>
          <w:rFonts w:ascii="Garamond" w:hAnsi="Garamond"/>
          <w:sz w:val="23"/>
        </w:rPr>
        <w:t>Maudes erste Ehe mit Watson und den Tod ihres ersten Ehemanns durch Originalurkunden belegen.</w:t>
      </w:r>
    </w:p>
    <w:p>
      <w:pPr>
        <w:pStyle w:val="ListBullet"/>
        <w:spacing w:line="300" w:lineRule="auto" w:after="80"/>
      </w:pPr>
      <w:r>
        <w:rPr>
          <w:rFonts w:ascii="Garamond" w:hAnsi="Garamond"/>
          <w:sz w:val="23"/>
        </w:rPr>
        <w:t>Nelsons Nachlassakte von 1948 in Sonoma County prüfen; sie könnte Maudes damalige Anschrift und Erben nennen.</w:t>
      </w:r>
    </w:p>
    <w:p>
      <w:pPr>
        <w:pStyle w:val="ListBullet"/>
        <w:spacing w:line="300" w:lineRule="auto" w:after="80"/>
      </w:pPr>
      <w:r>
        <w:rPr>
          <w:rFonts w:ascii="Garamond" w:hAnsi="Garamond"/>
          <w:sz w:val="23"/>
        </w:rPr>
        <w:t>Maudes Todesurkunde über Elternangaben Burrell und Spencer identifizieren.</w:t>
      </w:r>
    </w:p>
    <w:p>
      <w:pPr>
        <w:pStyle w:val="ListBullet"/>
        <w:spacing w:line="300" w:lineRule="auto" w:after="80"/>
      </w:pPr>
      <w:r>
        <w:rPr>
          <w:rFonts w:ascii="Garamond" w:hAnsi="Garamond"/>
          <w:sz w:val="23"/>
        </w:rPr>
        <w:t>Das Negativ „Miss Jaline Bailey and Mrs. Nelson Bailey“, Mai 1935, in der Bancroft Library bestellen und die Identität der dargestellten Frau prüfen.</w:t>
      </w:r>
    </w:p>
    <w:p>
      <w:pPr>
        <w:pStyle w:val="ListBullet"/>
        <w:spacing w:line="300" w:lineRule="auto" w:after="80"/>
      </w:pPr>
      <w:r>
        <w:rPr>
          <w:rFonts w:ascii="Garamond" w:hAnsi="Garamond"/>
          <w:sz w:val="23"/>
        </w:rPr>
        <w:t>Keine Fotografie von Nelson, Addie oder Maude ohne Provenienz und zeitgenössische Beschriftung als gesichertes Porträt veröffentlichen.</w:t>
      </w:r>
    </w:p>
    <w:p>
      <w:pPr>
        <w:pStyle w:val="Heading1"/>
        <w:keepNext/>
      </w:pPr>
      <w:r>
        <w:rPr>
          <w:rFonts w:ascii="Garamond" w:hAnsi="Garamond"/>
          <w:b/>
          <w:color w:val="000000"/>
          <w:sz w:val="32"/>
        </w:rPr>
        <w:t>Anmerkungen zur Quellenlage</w:t>
      </w:r>
    </w:p>
    <w:p>
      <w:pPr>
        <w:keepNext w:val="0"/>
        <w:spacing w:line="360" w:lineRule="auto" w:after="140"/>
        <w:jc w:val="both"/>
      </w:pPr>
      <w:r>
        <w:rPr>
          <w:rFonts w:ascii="Garamond" w:hAnsi="Garamond"/>
          <w:sz w:val="24"/>
        </w:rPr>
        <w:t>Die im Text verwendeten Fußnoten nennen die wichtigsten Quellenkomplexe. Die vollständigen Einzelnachweise zu den San-Francisco-Adressbüchern von 1917 bis 1973, zu den ausgeschlossenen Maude- und Clara-Bailey-Spuren sowie zum Zensus von 1950 sind in der Forschungsnotiz Ergebnisse zu den Ehefrauen von Nelson Burdette Bailey, Stand 23. September 2026, dokumentiert. Die Aussagen zu Nelsons Werk und Marktstellung folgen dem Gesamtprüfbericht N. B. Bailey: Quellen, Behauptungen und Manuskriptbestand vom 31. Juli 2026 sowie der neueren Rekonstruktion seiner Tätigkeit bei Sherman, Clay &amp; Co.</w:t>
      </w:r>
    </w:p>
    <w:p>
      <w:pPr>
        <w:pStyle w:val="Heading1"/>
        <w:keepNext/>
      </w:pPr>
      <w:r>
        <w:rPr>
          <w:rFonts w:ascii="Garamond" w:hAnsi="Garamond"/>
          <w:b/>
          <w:color w:val="000000"/>
          <w:sz w:val="32"/>
        </w:rPr>
        <w:t>Auswahlbibliografie</w:t>
      </w:r>
    </w:p>
    <w:p>
      <w:pPr>
        <w:spacing w:after="40" w:line="240" w:lineRule="auto"/>
        <w:ind w:left="403" w:hanging="403"/>
      </w:pPr>
      <w:r>
        <w:rPr>
          <w:rFonts w:ascii="Garamond" w:hAnsi="Garamond"/>
          <w:sz w:val="18"/>
        </w:rPr>
        <w:t>Bailey, N. B. A Practical Method for Self Instruction on the Ukulele. San Francisco: Sherman, Clay &amp; Co., 1914.</w:t>
      </w:r>
    </w:p>
    <w:p>
      <w:pPr>
        <w:spacing w:after="40" w:line="240" w:lineRule="auto"/>
        <w:ind w:left="403" w:hanging="403"/>
      </w:pPr>
      <w:r>
        <w:rPr>
          <w:rFonts w:ascii="Garamond" w:hAnsi="Garamond"/>
          <w:sz w:val="18"/>
        </w:rPr>
        <w:t>Bailey, N. B., und Keoki E. Awai. The Ukulele as a Solo Instrument: A Collection of Ukulele Solos, with Full Instructions for Playing. San Francisco: Sherman, Clay &amp; Co., 1916.</w:t>
      </w:r>
    </w:p>
    <w:p>
      <w:pPr>
        <w:spacing w:after="40" w:line="240" w:lineRule="auto"/>
        <w:ind w:left="403" w:hanging="403"/>
      </w:pPr>
      <w:r>
        <w:rPr>
          <w:rFonts w:ascii="Garamond" w:hAnsi="Garamond"/>
          <w:sz w:val="18"/>
        </w:rPr>
        <w:t>Crocker-Langley und Polk. San Francisco City Directories, ausgewählte Jahrgänge 1913-1973.</w:t>
      </w:r>
    </w:p>
    <w:p>
      <w:pPr>
        <w:spacing w:after="40" w:line="240" w:lineRule="auto"/>
        <w:ind w:left="403" w:hanging="403"/>
      </w:pPr>
      <w:r>
        <w:rPr>
          <w:rFonts w:ascii="Garamond" w:hAnsi="Garamond"/>
          <w:sz w:val="18"/>
        </w:rPr>
        <w:t>Fischer, Andreas. Ergebnisse zu den Ehefrauen von Nelson Burdette Bailey. Quellenkritische Forschungsnotiz, 23. September 2026.</w:t>
      </w:r>
    </w:p>
    <w:p>
      <w:pPr>
        <w:spacing w:after="40" w:line="240" w:lineRule="auto"/>
        <w:ind w:left="403" w:hanging="403"/>
      </w:pPr>
      <w:r>
        <w:rPr>
          <w:rFonts w:ascii="Garamond" w:hAnsi="Garamond"/>
          <w:sz w:val="18"/>
        </w:rPr>
        <w:t>Fischer, Andreas. N. B. Bailey: Quellen, Behauptungen und Manuskriptbestand. Gesamtprüfung, 31. Juli 2026.</w:t>
      </w:r>
    </w:p>
    <w:p>
      <w:pPr>
        <w:spacing w:after="40" w:line="240" w:lineRule="auto"/>
        <w:ind w:left="403" w:hanging="403"/>
      </w:pPr>
      <w:r>
        <w:rPr>
          <w:rFonts w:ascii="Garamond" w:hAnsi="Garamond"/>
          <w:sz w:val="18"/>
        </w:rPr>
        <w:t>History of Trumbull and Mahoning Counties, Ohio. Biografischer Eintrag zur Familie Nelson Homer Bailey, 1909.</w:t>
      </w:r>
    </w:p>
    <w:p>
      <w:pPr>
        <w:spacing w:after="40" w:line="240" w:lineRule="auto"/>
        <w:ind w:left="403" w:hanging="403"/>
      </w:pPr>
      <w:r>
        <w:rPr>
          <w:rFonts w:ascii="Garamond" w:hAnsi="Garamond"/>
          <w:sz w:val="18"/>
        </w:rPr>
        <w:t>National Park Service. The 1915 World's Fair.</w:t>
      </w:r>
      <w:r>
        <w:t xml:space="preserve"> </w:t>
      </w:r>
      <w:hyperlink r:id="rId10">
        <w:r>
          <w:rPr>
            <w:color w:val="1F4E79"/>
            <w:u w:val="single"/>
            <w:sz w:val="18"/>
            <w:szCs w:val="18"/>
          </w:rPr>
          <w:t>https://www.nps.gov/goga/planyourvisit/upload/PPIE_1915_2021.pdf</w:t>
        </w:r>
      </w:hyperlink>
    </w:p>
    <w:p>
      <w:pPr>
        <w:spacing w:after="40" w:line="240" w:lineRule="auto"/>
        <w:ind w:left="403" w:hanging="403"/>
      </w:pPr>
      <w:r>
        <w:rPr>
          <w:rFonts w:ascii="Garamond" w:hAnsi="Garamond"/>
          <w:sz w:val="18"/>
        </w:rPr>
        <w:t>National Park Service. The Panama-Pacific International Exposition.</w:t>
      </w:r>
      <w:r>
        <w:t xml:space="preserve"> </w:t>
      </w:r>
      <w:hyperlink r:id="rId11">
        <w:r>
          <w:rPr>
            <w:color w:val="1F4E79"/>
            <w:u w:val="single"/>
            <w:sz w:val="18"/>
            <w:szCs w:val="18"/>
          </w:rPr>
          <w:t>https://www.nps.gov/goga/learn/historyculture/ppie.htm</w:t>
        </w:r>
      </w:hyperlink>
    </w:p>
    <w:p>
      <w:pPr>
        <w:spacing w:after="40" w:line="240" w:lineRule="auto"/>
        <w:ind w:left="403" w:hanging="403"/>
      </w:pPr>
      <w:r>
        <w:rPr>
          <w:rFonts w:ascii="Garamond" w:hAnsi="Garamond"/>
          <w:sz w:val="18"/>
        </w:rPr>
        <w:t>United States Geological Survey. Facing the Great Disaster: How the Men and Women of the U.S. Geological Survey Responded to the 1906 San Francisco Earthquake.</w:t>
      </w:r>
      <w:r>
        <w:t xml:space="preserve"> </w:t>
      </w:r>
      <w:hyperlink r:id="rId12">
        <w:r>
          <w:rPr>
            <w:color w:val="1F4E79"/>
            <w:u w:val="single"/>
            <w:sz w:val="18"/>
            <w:szCs w:val="18"/>
          </w:rPr>
          <w:t>https://pubs.usgs.gov/gip/2006/31/</w:t>
        </w:r>
      </w:hyperlink>
    </w:p>
    <w:p>
      <w:pPr>
        <w:spacing w:after="40" w:line="240" w:lineRule="auto"/>
        <w:ind w:left="403" w:hanging="403"/>
      </w:pPr>
      <w:r>
        <w:rPr>
          <w:rFonts w:ascii="Garamond" w:hAnsi="Garamond"/>
          <w:sz w:val="18"/>
        </w:rPr>
        <w:t>Library of Congress. „School's Out!“ Now See Hear, 13. Juni 2014.</w:t>
      </w:r>
      <w:r>
        <w:t xml:space="preserve"> </w:t>
      </w:r>
      <w:hyperlink r:id="rId13">
        <w:r>
          <w:rPr>
            <w:color w:val="1F4E79"/>
            <w:u w:val="single"/>
            <w:sz w:val="18"/>
            <w:szCs w:val="18"/>
          </w:rPr>
          <w:t>https://blogs.loc.gov/now-see-hear/2014/06/schools-out/</w:t>
        </w:r>
      </w:hyperlink>
    </w:p>
    <w:p>
      <w:pPr>
        <w:spacing w:after="40" w:line="240" w:lineRule="auto"/>
        <w:ind w:left="403" w:hanging="403"/>
      </w:pPr>
      <w:r>
        <w:rPr>
          <w:rFonts w:ascii="Garamond" w:hAnsi="Garamond"/>
          <w:sz w:val="18"/>
        </w:rPr>
        <w:t>National Archives. The Influenza Epidemic of 1918.</w:t>
      </w:r>
      <w:r>
        <w:t xml:space="preserve"> </w:t>
      </w:r>
      <w:hyperlink r:id="rId14">
        <w:r>
          <w:rPr>
            <w:color w:val="1F4E79"/>
            <w:u w:val="single"/>
            <w:sz w:val="18"/>
            <w:szCs w:val="18"/>
          </w:rPr>
          <w:t>https://www.archives.gov/exhibits/influenza-epidemic/</w:t>
        </w:r>
      </w:hyperlink>
    </w:p>
    <w:p>
      <w:pPr>
        <w:spacing w:after="40" w:line="240" w:lineRule="auto"/>
        <w:ind w:left="403" w:hanging="403"/>
      </w:pPr>
      <w:r>
        <w:rPr>
          <w:rFonts w:ascii="Garamond" w:hAnsi="Garamond"/>
          <w:sz w:val="18"/>
        </w:rPr>
        <w:t>Ohio History Connection. Youngstown Historical Center of Industry and Labor.</w:t>
      </w:r>
      <w:r>
        <w:t xml:space="preserve"> </w:t>
      </w:r>
      <w:hyperlink r:id="rId15">
        <w:r>
          <w:rPr>
            <w:color w:val="1F4E79"/>
            <w:u w:val="single"/>
            <w:sz w:val="18"/>
            <w:szCs w:val="18"/>
          </w:rPr>
          <w:t>https://www.ohiohistory.org/visit/browse-historical-sites/youngstown-historical-center-of-industry-labor/</w:t>
        </w:r>
      </w:hyperlink>
    </w:p>
    <w:p>
      <w:pPr>
        <w:spacing w:after="40" w:line="240" w:lineRule="auto"/>
        <w:ind w:left="403" w:hanging="403"/>
      </w:pPr>
      <w:r>
        <w:rPr>
          <w:rFonts w:ascii="Garamond" w:hAnsi="Garamond"/>
          <w:sz w:val="18"/>
        </w:rPr>
        <w:t>California Secretary of State. California Women Suffrage Centennial.</w:t>
      </w:r>
      <w:r>
        <w:t xml:space="preserve"> </w:t>
      </w:r>
      <w:hyperlink r:id="rId16">
        <w:r>
          <w:rPr>
            <w:color w:val="1F4E79"/>
            <w:u w:val="single"/>
            <w:sz w:val="18"/>
            <w:szCs w:val="18"/>
          </w:rPr>
          <w:t>https://www.sos.ca.gov/elections/celebrating-womens-suffrage/california-women-suffrage-centennial</w:t>
        </w:r>
      </w:hyperlink>
    </w:p>
    <w:p>
      <w:pPr>
        <w:spacing w:after="40" w:line="240" w:lineRule="auto"/>
        <w:ind w:left="403" w:hanging="403"/>
      </w:pPr>
      <w:r>
        <w:rPr>
          <w:rFonts w:ascii="Garamond" w:hAnsi="Garamond"/>
          <w:sz w:val="18"/>
        </w:rPr>
        <w:t>United States Census Bureau. Statistics of Women at Work. Washington, D.C., 1907.</w:t>
      </w:r>
      <w:r>
        <w:t xml:space="preserve"> </w:t>
      </w:r>
      <w:hyperlink r:id="rId17">
        <w:r>
          <w:rPr>
            <w:color w:val="1F4E79"/>
            <w:u w:val="single"/>
            <w:sz w:val="18"/>
            <w:szCs w:val="18"/>
          </w:rPr>
          <w:t>https://www.census.gov/library/publications/1907/dec/women-at-work.html</w:t>
        </w:r>
      </w:hyperlink>
    </w:p>
    <w:p>
      <w:pPr>
        <w:spacing w:after="40" w:line="240" w:lineRule="auto"/>
        <w:ind w:left="403" w:hanging="403"/>
      </w:pPr>
      <w:r>
        <w:rPr>
          <w:rFonts w:ascii="Garamond" w:hAnsi="Garamond"/>
          <w:sz w:val="18"/>
        </w:rPr>
        <w:t>Music Trade Review. „Hawaiian Music in the West.“ 62, Nr. 20, 13. Mai 1916, 58.</w:t>
      </w:r>
    </w:p>
    <w:p>
      <w:pPr>
        <w:spacing w:after="40" w:line="240" w:lineRule="auto"/>
        <w:ind w:left="403" w:hanging="403"/>
      </w:pPr>
      <w:r>
        <w:rPr>
          <w:rFonts w:ascii="Garamond" w:hAnsi="Garamond"/>
          <w:sz w:val="18"/>
        </w:rPr>
        <w:t>Music Trade Review. „New Pacific Fleet Welcomed.“ 69, Nr. 7, 1919, 27.</w:t>
      </w:r>
    </w:p>
    <w:p>
      <w:pPr>
        <w:spacing w:after="40" w:line="240" w:lineRule="auto"/>
        <w:ind w:left="403" w:hanging="403"/>
      </w:pPr>
      <w:r>
        <w:rPr>
          <w:rFonts w:ascii="Garamond" w:hAnsi="Garamond"/>
          <w:sz w:val="18"/>
        </w:rPr>
        <w:t>Music Trade Review. „N. B. Bailey Resigns.“ 72, Nr. 3, 1921, 39.</w:t>
      </w:r>
    </w:p>
    <w:p>
      <w:pPr>
        <w:spacing w:after="40" w:line="240" w:lineRule="auto"/>
        <w:ind w:left="403" w:hanging="403"/>
      </w:pPr>
      <w:r>
        <w:rPr>
          <w:rFonts w:ascii="Garamond" w:hAnsi="Garamond"/>
          <w:sz w:val="18"/>
        </w:rPr>
        <w:t>Press Democrat, Santa Rosa. Todesanzeige für Nelson Bert Bailey, 25. Juli 1948.</w:t>
      </w:r>
    </w:p>
    <w:p>
      <w:pPr>
        <w:spacing w:after="40" w:line="240" w:lineRule="auto"/>
        <w:ind w:left="403" w:hanging="403"/>
      </w:pPr>
      <w:r>
        <w:rPr>
          <w:rFonts w:ascii="Garamond" w:hAnsi="Garamond"/>
          <w:sz w:val="18"/>
        </w:rPr>
        <w:t>Tranquada, Jim, und John King. The Ukulele: A History. Honolulu: University of Hawai‘i Press, 2012.</w:t>
      </w:r>
    </w:p>
    <w:sectPr w:rsidR="00FC693F" w:rsidRPr="0006063C" w:rsidSect="00034616">
      <w:footerReference w:type="default" r:id="rId9"/>
      <w:pgSz w:w="12240" w:h="15840"/>
      <w:pgMar w:top="1123" w:right="1181" w:bottom="1037" w:left="1267" w:header="461"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footnotes.xml><?xml version="1.0" encoding="utf-8"?>
<w:footnotes xmlns:w="http://schemas.openxmlformats.org/wordprocessingml/2006/main" xmlns:r="http://schemas.openxmlformats.org/officeDocument/2006/relationships">
  <w:footnote w:id="-1" w:type="separator">
    <w:p>
      <w:r>
        <w:separator/>
      </w:r>
    </w:p>
  </w:footnote>
  <w:footnote w:id="0" w:type="continuationSeparator">
    <w:p>
      <w:r>
        <w:continuationSeparator/>
      </w:r>
    </w:p>
  </w:footnote>
  <w:footnote w:id="1">
    <w:p>
      <w:r>
        <w:footnoteRef/>
      </w:r>
      <w:r>
        <w:t> History of Trumbull County, Ohio, Bd. 2 (1909), 152; FamilySearch, indexiertes Geburtsregister.</w:t>
      </w:r>
    </w:p>
  </w:footnote>
  <w:footnote w:id="2">
    <w:p>
      <w:r>
        <w:footnoteRef/>
      </w:r>
      <w:r>
        <w:t> Ohio History Connection, Youngstown Historical Center of Industry and Labor, Abschnitt History.</w:t>
      </w:r>
    </w:p>
  </w:footnote>
  <w:footnote w:id="3">
    <w:p>
      <w:r>
        <w:footnoteRef/>
      </w:r>
      <w:r>
        <w:t> Heiratseintrag Mahoning County, 31. August 1904; History of Trumbull County (1909), 152.</w:t>
      </w:r>
    </w:p>
  </w:footnote>
  <w:footnote w:id="4">
    <w:p>
      <w:r>
        <w:footnoteRef/>
      </w:r>
      <w:r>
        <w:t> United States Census 1910, Youngstown, Ohio, ED 104, Blatt 8B.</w:t>
      </w:r>
    </w:p>
  </w:footnote>
  <w:footnote w:id="5">
    <w:p>
      <w:r>
        <w:footnoteRef/>
      </w:r>
      <w:r>
        <w:t> Crocker-Langley Directories 1913-1919; Music Trade Review 69/7 (1919), 27; 72/3 (1921), 39.</w:t>
      </w:r>
    </w:p>
  </w:footnote>
  <w:footnote w:id="6">
    <w:p>
      <w:r>
        <w:footnoteRef/>
      </w:r>
      <w:r>
        <w:t> U.S. Geological Survey, Facing the Great Disaster (2006); National Park Service, The 1915 World's Fair, 1.</w:t>
      </w:r>
    </w:p>
  </w:footnote>
  <w:footnote w:id="7">
    <w:p>
      <w:r>
        <w:footnoteRef/>
      </w:r>
      <w:r>
        <w:t> N. B. Bailey, A Practical Method for Self Instruction on the Ukulele (1914), Titel und Einleitung.</w:t>
      </w:r>
    </w:p>
  </w:footnote>
  <w:footnote w:id="8">
    <w:p>
      <w:r>
        <w:footnoteRef/>
      </w:r>
      <w:r>
        <w:t> Music Trade Review 62, Nr. 20 (13. Mai 1916): 58; U.S. Patent 1,128,835.</w:t>
      </w:r>
    </w:p>
  </w:footnote>
  <w:footnote w:id="9">
    <w:p>
      <w:r>
        <w:footnoteRef/>
      </w:r>
      <w:r>
        <w:t> Pacific Coast Musical Review 31/4 (28. Oktober 1916); Music Trade Review 80/24 (13. Juni 1925), 97.</w:t>
      </w:r>
    </w:p>
  </w:footnote>
  <w:footnote w:id="10">
    <w:p>
      <w:r>
        <w:footnoteRef/>
      </w:r>
      <w:r>
        <w:t> Crocker-Langley San Francisco Directories 1918-1921.</w:t>
      </w:r>
    </w:p>
  </w:footnote>
  <w:footnote w:id="11">
    <w:p>
      <w:r>
        <w:footnoteRef/>
      </w:r>
      <w:r>
        <w:t> San Francisco marriage record, Maude Burrell Watson und Nelson Burdette Bailey, 6. November 1921.</w:t>
      </w:r>
    </w:p>
  </w:footnote>
  <w:footnote w:id="12">
    <w:p>
      <w:r>
        <w:footnoteRef/>
      </w:r>
      <w:r>
        <w:t> U.S. Census Bureau, Statistics of Women at Work (1907).</w:t>
      </w:r>
    </w:p>
  </w:footnote>
  <w:footnote w:id="13">
    <w:p>
      <w:r>
        <w:footnoteRef/>
      </w:r>
      <w:r>
        <w:t> San Francisco marriage records für Braut und Bräutigam, 6. November 1921.</w:t>
      </w:r>
    </w:p>
  </w:footnote>
  <w:footnote w:id="14">
    <w:p>
      <w:r>
        <w:footnoteRef/>
      </w:r>
      <w:r>
        <w:t> California Secretary of State, California Women Suffrage Centennial.</w:t>
      </w:r>
    </w:p>
  </w:footnote>
  <w:footnote w:id="15">
    <w:p>
      <w:r>
        <w:footnoteRef/>
      </w:r>
      <w:r>
        <w:t> San-Francisco-Adressbuch, „Nelson B (Maude)“; U.S. Patente 1,660,740 und 1,705,601.</w:t>
      </w:r>
    </w:p>
  </w:footnote>
  <w:footnote w:id="16">
    <w:p>
      <w:r>
        <w:footnoteRef/>
      </w:r>
      <w:r>
        <w:t> Polk San Francisco Directories 1954-1971, Addie M. Bailey, 685 Geary, Apartment 305.</w:t>
      </w:r>
    </w:p>
  </w:footnote>
  <w:footnote w:id="17">
    <w:p>
      <w:r>
        <w:footnoteRef/>
      </w:r>
      <w:r>
        <w:t> Press Democrat, Santa Rosa, 25. Juli 1948, Todesanzeige für Nelson Bert Bailey.</w:t>
      </w:r>
    </w:p>
  </w:footnote>
  <w:footnote w:id="18">
    <w:p>
      <w:r>
        <w:footnoteRef/>
      </w:r>
      <w:r>
        <w:t> National Archives, 1950 Census, Sonoma County, ED 49-75; Polk's Santa Rosa City Directory 1958.</w:t>
      </w:r>
    </w:p>
  </w:footnote>
  <w:footnote w:id="19">
    <w:p>
      <w:r>
        <w:footnoteRef/>
      </w:r>
      <w:r>
        <w:t> U.S. Geological Survey, Facing the Great Disaster: How the Men and Women of the U.S. Geological Survey Responded to the 1906 San Francisco Earthquake (2006).</w:t>
      </w:r>
    </w:p>
  </w:footnote>
  <w:footnote w:id="20">
    <w:p>
      <w:r>
        <w:footnoteRef/>
      </w:r>
      <w:r>
        <w:t> National Park Service, The Panama-Pacific International Exposition; The Year of the Panama-Pacific International Exposition.</w:t>
      </w:r>
    </w:p>
  </w:footnote>
  <w:footnote w:id="21">
    <w:p>
      <w:r>
        <w:footnoteRef/>
      </w:r>
      <w:r>
        <w:t> National Park Service, The State and Territory Buildings, Abschnitt Hawaii Building; Library of Congress, „School's Out!“, 13. Juni 2014; N. B. Bailey, A Practical Method for Self Instruction on the Ukulele (1914).</w:t>
      </w:r>
    </w:p>
  </w:footnote>
  <w:footnote w:id="22">
    <w:p>
      <w:r>
        <w:footnoteRef/>
      </w:r>
      <w:r>
        <w:t> Jim Tranquada und John King, The Ukulele: A History (Honolulu: University of Hawai‘i Press, 2012), Anhang B, 175.</w:t>
      </w:r>
    </w:p>
  </w:footnote>
  <w:footnote w:id="23">
    <w:p>
      <w:r>
        <w:footnoteRef/>
      </w:r>
      <w:r>
        <w:t> N. B. Bailey und Keoki E. Awai, The Ukulele as a Solo Instrument (San Francisco: Sherman, Clay &amp; Co., 1916), Titel und Inhalt; „Hawaiian Music in the West“, Music Trade Review 62, Nr. 20 (13. Mai 1916): 58.</w:t>
      </w:r>
    </w:p>
  </w:footnote>
  <w:footnote w:id="24">
    <w:p>
      <w:r>
        <w:footnoteRef/>
      </w:r>
      <w:r>
        <w:t> National Archives, The Influenza Epidemic of 1918; National Archives, The Flu Pandemic of 1918.</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40"/>
    </w:pPr>
    <w:rPr>
      <w:rFonts w:ascii="Garamond" w:hAnsi="Garamon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aramond" w:hAnsi="Garamond"/>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aramond" w:hAnsi="Garamond"/>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Garamond" w:hAnsi="Garamond"/>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ps.gov/goga/planyourvisit/upload/PPIE_1915_2021.pdf" TargetMode="External"/><Relationship Id="rId11" Type="http://schemas.openxmlformats.org/officeDocument/2006/relationships/hyperlink" Target="https://www.nps.gov/goga/learn/historyculture/ppie.htm" TargetMode="External"/><Relationship Id="rId12" Type="http://schemas.openxmlformats.org/officeDocument/2006/relationships/hyperlink" Target="https://pubs.usgs.gov/gip/2006/31/" TargetMode="External"/><Relationship Id="rId13" Type="http://schemas.openxmlformats.org/officeDocument/2006/relationships/hyperlink" Target="https://blogs.loc.gov/now-see-hear/2014/06/schools-out/" TargetMode="External"/><Relationship Id="rId14" Type="http://schemas.openxmlformats.org/officeDocument/2006/relationships/hyperlink" Target="https://www.archives.gov/exhibits/influenza-epidemic/" TargetMode="External"/><Relationship Id="rId15" Type="http://schemas.openxmlformats.org/officeDocument/2006/relationships/hyperlink" Target="https://www.ohiohistory.org/visit/browse-historical-sites/youngstown-historical-center-of-industry-labor/" TargetMode="External"/><Relationship Id="rId16" Type="http://schemas.openxmlformats.org/officeDocument/2006/relationships/hyperlink" Target="https://www.sos.ca.gov/elections/celebrating-womens-suffrage/california-women-suffrage-centennial" TargetMode="External"/><Relationship Id="rId17" Type="http://schemas.openxmlformats.org/officeDocument/2006/relationships/hyperlink" Target="https://www.census.gov/library/publications/1907/dec/women-at-work.html" TargetMode="External"/><Relationship Id="rId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Nelson Burdette Bailey Addie M Mentzer Bailey und Maude Burrell Watson Bailey</dc:title>
  <dc:subject>Gemeinsame quellenkritische Biografie und zeitgeschichtliche Einordnung</dc:subject>
  <dc:creator>Andreas Fischer</dc:creator>
  <cp:keywords>Nelson Burdette Bailey, Addie M Mentzer, Maude Burrell Watson, Sherman Clay, Ukulele, Biografie</cp:keywords>
  <dc:description>generated by python-docx</dc:description>
  <cp:lastModifiedBy/>
  <cp:revision>1</cp:revision>
  <dcterms:created xsi:type="dcterms:W3CDTF">2013-12-23T23:15:00Z</dcterms:created>
  <dcterms:modified xsi:type="dcterms:W3CDTF">2013-12-23T23:15:00Z</dcterms:modified>
  <cp:category/>
</cp:coreProperties>
</file>